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269445" w14:textId="77777777" w:rsidR="00E66BFC" w:rsidRDefault="00844085">
      <w:pPr>
        <w:pStyle w:val="Title"/>
        <w:contextualSpacing w:val="0"/>
      </w:pPr>
      <w:bookmarkStart w:id="0" w:name="h.379w3nsf0v5w" w:colFirst="0" w:colLast="0"/>
      <w:bookmarkEnd w:id="0"/>
      <w:proofErr w:type="spellStart"/>
      <w:r>
        <w:t>InCommon</w:t>
      </w:r>
      <w:proofErr w:type="spellEnd"/>
      <w:r>
        <w:t xml:space="preserve"> and </w:t>
      </w:r>
      <w:proofErr w:type="spellStart"/>
      <w:r>
        <w:t>eduGAIN</w:t>
      </w:r>
      <w:proofErr w:type="spellEnd"/>
      <w:r>
        <w:t>: Joining the International Federation Community</w:t>
      </w:r>
    </w:p>
    <w:p w14:paraId="1C12D4EA" w14:textId="77777777" w:rsidR="00E66BFC" w:rsidRDefault="00844085">
      <w:pPr>
        <w:pStyle w:val="Heading1"/>
        <w:contextualSpacing w:val="0"/>
      </w:pPr>
      <w:bookmarkStart w:id="1" w:name="h.zajhj4cgond0" w:colFirst="0" w:colLast="0"/>
      <w:bookmarkEnd w:id="1"/>
      <w:r>
        <w:t>Executive Summary</w:t>
      </w:r>
    </w:p>
    <w:p w14:paraId="197ED12E" w14:textId="77777777" w:rsidR="00E66BFC" w:rsidRDefault="00844085">
      <w:pPr>
        <w:pStyle w:val="Normal1"/>
      </w:pPr>
      <w:r>
        <w:t xml:space="preserve">Researchers, faculty, staff, graduate students and others involved in research, scholarship and education increasingly interact with international colleagues. Many projects and virtual organizations prefer to use federated identity management, allowing individuals to use their home credentials to gain access to collaboration tools. However, identity and access management federations align with national boundaries, creating barriers to international collaboration, with each country and federation maintaining their own policies, practices and legal constraints. </w:t>
      </w:r>
    </w:p>
    <w:p w14:paraId="312B7FB8" w14:textId="77777777" w:rsidR="00E66BFC" w:rsidRDefault="00E66BFC">
      <w:pPr>
        <w:pStyle w:val="Normal1"/>
      </w:pPr>
    </w:p>
    <w:p w14:paraId="6CCF7D8C" w14:textId="77777777" w:rsidR="00E66BFC" w:rsidRDefault="00844085">
      <w:pPr>
        <w:pStyle w:val="Normal1"/>
      </w:pPr>
      <w:r>
        <w:t xml:space="preserve">To aid with federation across national boundaries, </w:t>
      </w:r>
      <w:proofErr w:type="spellStart"/>
      <w:r>
        <w:t>InCommon</w:t>
      </w:r>
      <w:proofErr w:type="spellEnd"/>
      <w:r>
        <w:t xml:space="preserve"> will use </w:t>
      </w:r>
      <w:proofErr w:type="spellStart"/>
      <w:r>
        <w:t>eduGAIN</w:t>
      </w:r>
      <w:proofErr w:type="spellEnd"/>
      <w:r>
        <w:t xml:space="preserve">, an international service run by </w:t>
      </w:r>
      <w:r>
        <w:rPr>
          <w:color w:val="444444"/>
        </w:rPr>
        <w:t>GÉANT</w:t>
      </w:r>
      <w:r>
        <w:t xml:space="preserve"> in the European Union. </w:t>
      </w:r>
      <w:proofErr w:type="spellStart"/>
      <w:r>
        <w:t>eduGAIN</w:t>
      </w:r>
      <w:proofErr w:type="spellEnd"/>
      <w:r>
        <w:t xml:space="preserve"> now includes 40 national research and education federations worldwide and can enable collaboration among 31 million individuals, 8 million of which are supported by </w:t>
      </w:r>
      <w:proofErr w:type="spellStart"/>
      <w:r>
        <w:t>InCommon</w:t>
      </w:r>
      <w:proofErr w:type="spellEnd"/>
      <w:r>
        <w:t>.</w:t>
      </w:r>
    </w:p>
    <w:p w14:paraId="6F105D8A" w14:textId="77777777" w:rsidR="00E66BFC" w:rsidRDefault="00E66BFC">
      <w:pPr>
        <w:pStyle w:val="Normal1"/>
      </w:pPr>
    </w:p>
    <w:p w14:paraId="61E176BC" w14:textId="3D9F09C6" w:rsidR="00E66BFC" w:rsidRDefault="00844085">
      <w:pPr>
        <w:pStyle w:val="Normal1"/>
      </w:pPr>
      <w:proofErr w:type="spellStart"/>
      <w:r>
        <w:t>InCommon</w:t>
      </w:r>
      <w:proofErr w:type="spellEnd"/>
      <w:r>
        <w:rPr>
          <w:color w:val="FF0000"/>
        </w:rPr>
        <w:t xml:space="preserve"> </w:t>
      </w:r>
      <w:r>
        <w:t>will</w:t>
      </w:r>
      <w:r>
        <w:rPr>
          <w:color w:val="FF0000"/>
        </w:rPr>
        <w:t xml:space="preserve"> </w:t>
      </w:r>
      <w:r>
        <w:t xml:space="preserve">send connection information - otherwise known as metadata - about </w:t>
      </w:r>
      <w:proofErr w:type="spellStart"/>
      <w:r>
        <w:t>InCommon</w:t>
      </w:r>
      <w:proofErr w:type="spellEnd"/>
      <w:r>
        <w:t xml:space="preserve"> Identity Providers and Service Providers to </w:t>
      </w:r>
      <w:proofErr w:type="spellStart"/>
      <w:r>
        <w:t>eduGAIN</w:t>
      </w:r>
      <w:proofErr w:type="spellEnd"/>
      <w:r>
        <w:t xml:space="preserve"> for inclusion in their global service. (Metadata is the information exchanged among participants to make federation happen.) </w:t>
      </w:r>
      <w:proofErr w:type="spellStart"/>
      <w:r>
        <w:t>InCommon</w:t>
      </w:r>
      <w:proofErr w:type="spellEnd"/>
      <w:r>
        <w:t xml:space="preserve"> will make the necessary adjustments to its policy documents to align with </w:t>
      </w:r>
      <w:proofErr w:type="spellStart"/>
      <w:r>
        <w:t>eduGAIN</w:t>
      </w:r>
      <w:proofErr w:type="spellEnd"/>
      <w:r>
        <w:t xml:space="preserve"> policies and provide a review period for community comment. </w:t>
      </w:r>
      <w:proofErr w:type="spellStart"/>
      <w:r>
        <w:t>InCommon</w:t>
      </w:r>
      <w:proofErr w:type="spellEnd"/>
      <w:r>
        <w:t xml:space="preserve"> will strongly encourage Identity Providers and qualifying Service Providers to participate in the global R&amp;S program to streamline access to services.</w:t>
      </w:r>
    </w:p>
    <w:p w14:paraId="2194F107" w14:textId="77777777" w:rsidR="00E66BFC" w:rsidRDefault="00E66BFC">
      <w:pPr>
        <w:pStyle w:val="Normal1"/>
      </w:pPr>
    </w:p>
    <w:p w14:paraId="69EF4E24" w14:textId="756D8081" w:rsidR="00E66BFC" w:rsidRDefault="00844085">
      <w:pPr>
        <w:pStyle w:val="Normal1"/>
      </w:pPr>
      <w:r>
        <w:t xml:space="preserve">The balance of this document provides information about the changes needed for </w:t>
      </w:r>
      <w:proofErr w:type="spellStart"/>
      <w:r>
        <w:t>eduGAIN</w:t>
      </w:r>
      <w:proofErr w:type="spellEnd"/>
      <w:r>
        <w:t xml:space="preserve"> adoption -- both for the </w:t>
      </w:r>
      <w:proofErr w:type="spellStart"/>
      <w:r>
        <w:t>InCommon</w:t>
      </w:r>
      <w:proofErr w:type="spellEnd"/>
      <w:r>
        <w:t xml:space="preserve"> Federation and for </w:t>
      </w:r>
      <w:proofErr w:type="spellStart"/>
      <w:r>
        <w:t>InCommon</w:t>
      </w:r>
      <w:proofErr w:type="spellEnd"/>
      <w:r>
        <w:t xml:space="preserve"> participants. In addition, </w:t>
      </w:r>
      <w:proofErr w:type="spellStart"/>
      <w:r>
        <w:t>InCommon</w:t>
      </w:r>
      <w:proofErr w:type="spellEnd"/>
      <w:r>
        <w:t xml:space="preserve"> will provide a comprehensive series of commun</w:t>
      </w:r>
      <w:r w:rsidR="0094739D">
        <w:t>ications about the implications</w:t>
      </w:r>
      <w:r>
        <w:t xml:space="preserve"> of </w:t>
      </w:r>
      <w:proofErr w:type="spellStart"/>
      <w:r>
        <w:t>interfederation</w:t>
      </w:r>
      <w:proofErr w:type="spellEnd"/>
      <w:r>
        <w:t xml:space="preserve"> and about planning for deployment</w:t>
      </w:r>
      <w:r w:rsidR="004E77B9">
        <w:t>.</w:t>
      </w:r>
    </w:p>
    <w:p w14:paraId="1C95A88D" w14:textId="77777777" w:rsidR="00E66BFC" w:rsidRDefault="00844085">
      <w:pPr>
        <w:pStyle w:val="Normal1"/>
      </w:pPr>
      <w:r>
        <w:br w:type="page"/>
      </w:r>
    </w:p>
    <w:p w14:paraId="346FEB29" w14:textId="77777777" w:rsidR="00E66BFC" w:rsidRDefault="00E66BFC">
      <w:pPr>
        <w:pStyle w:val="Normal1"/>
      </w:pPr>
    </w:p>
    <w:p w14:paraId="449D57BD" w14:textId="77777777" w:rsidR="00E66BFC" w:rsidRDefault="00844085">
      <w:pPr>
        <w:pStyle w:val="Heading1"/>
        <w:contextualSpacing w:val="0"/>
      </w:pPr>
      <w:bookmarkStart w:id="2" w:name="h.cp0wynu7hsbm" w:colFirst="0" w:colLast="0"/>
      <w:bookmarkEnd w:id="2"/>
      <w:proofErr w:type="spellStart"/>
      <w:r>
        <w:rPr>
          <w:sz w:val="42"/>
          <w:szCs w:val="42"/>
        </w:rPr>
        <w:t>InCommon</w:t>
      </w:r>
      <w:proofErr w:type="spellEnd"/>
      <w:r>
        <w:rPr>
          <w:sz w:val="42"/>
          <w:szCs w:val="42"/>
        </w:rPr>
        <w:t xml:space="preserve"> and </w:t>
      </w:r>
      <w:proofErr w:type="spellStart"/>
      <w:r>
        <w:rPr>
          <w:sz w:val="42"/>
          <w:szCs w:val="42"/>
        </w:rPr>
        <w:t>eduGAIN</w:t>
      </w:r>
      <w:proofErr w:type="spellEnd"/>
      <w:r>
        <w:rPr>
          <w:sz w:val="42"/>
          <w:szCs w:val="42"/>
        </w:rPr>
        <w:t>: Joining the International Federation Community</w:t>
      </w:r>
    </w:p>
    <w:p w14:paraId="633BD150" w14:textId="77777777" w:rsidR="00E66BFC" w:rsidRDefault="00844085">
      <w:pPr>
        <w:pStyle w:val="Heading1"/>
        <w:contextualSpacing w:val="0"/>
      </w:pPr>
      <w:bookmarkStart w:id="3" w:name="h.o3h6atorkyal" w:colFirst="0" w:colLast="0"/>
      <w:bookmarkEnd w:id="3"/>
      <w:r>
        <w:t>Background - Strategic Direction</w:t>
      </w:r>
    </w:p>
    <w:p w14:paraId="08D9DA3C" w14:textId="77777777" w:rsidR="00E66BFC" w:rsidRDefault="00844085">
      <w:pPr>
        <w:pStyle w:val="Normal1"/>
      </w:pPr>
      <w:r>
        <w:t xml:space="preserve">Many countries have established a national identity research and education federation similar to </w:t>
      </w:r>
      <w:proofErr w:type="spellStart"/>
      <w:r>
        <w:t>InCommon</w:t>
      </w:r>
      <w:proofErr w:type="spellEnd"/>
      <w:r>
        <w:t xml:space="preserve">. This enables seamless access to services within each country, but not between countries. </w:t>
      </w:r>
      <w:proofErr w:type="spellStart"/>
      <w:r>
        <w:t>Interfederation</w:t>
      </w:r>
      <w:proofErr w:type="spellEnd"/>
      <w:r>
        <w:t xml:space="preserve"> takes place when a user from one federation accesses a service that is registered in another federation. This is important as research, teaching and learning increasingly cross international boundaries. The vision, like physical networking (and the creation of the Internet itself), is to interconnect federations so that a user in one country can seamlessly access a service in another country using his or her home credentials.</w:t>
      </w:r>
    </w:p>
    <w:p w14:paraId="2895E00D" w14:textId="77777777" w:rsidR="00E66BFC" w:rsidRDefault="00E66BFC">
      <w:pPr>
        <w:pStyle w:val="Normal1"/>
      </w:pPr>
    </w:p>
    <w:p w14:paraId="18C12BAA" w14:textId="77777777" w:rsidR="00E66BFC" w:rsidRDefault="00844085">
      <w:pPr>
        <w:pStyle w:val="Normal1"/>
      </w:pPr>
      <w:r>
        <w:t xml:space="preserve">The international research and education trust and identity community have chosen to use the European-based global </w:t>
      </w:r>
      <w:proofErr w:type="spellStart"/>
      <w:r>
        <w:t>eduGAIN</w:t>
      </w:r>
      <w:proofErr w:type="spellEnd"/>
      <w:r>
        <w:t xml:space="preserve"> service, which provides a lightweight technical and policy infrastructure to enable </w:t>
      </w:r>
      <w:proofErr w:type="spellStart"/>
      <w:r>
        <w:t>interfederation</w:t>
      </w:r>
      <w:proofErr w:type="spellEnd"/>
      <w:r>
        <w:t>.</w:t>
      </w:r>
      <w:r>
        <w:rPr>
          <w:vertAlign w:val="superscript"/>
        </w:rPr>
        <w:footnoteReference w:id="1"/>
      </w:r>
      <w:r>
        <w:t xml:space="preserve"> </w:t>
      </w:r>
      <w:proofErr w:type="spellStart"/>
      <w:r>
        <w:t>eduGAIN</w:t>
      </w:r>
      <w:proofErr w:type="spellEnd"/>
      <w:r>
        <w:t xml:space="preserve"> now includes 40 national research and education federations worldwide and can enable collaboration among 31 million individuals, 8 million of which are supported by </w:t>
      </w:r>
      <w:proofErr w:type="spellStart"/>
      <w:r>
        <w:t>InCommon</w:t>
      </w:r>
      <w:proofErr w:type="spellEnd"/>
      <w:r>
        <w:t>.</w:t>
      </w:r>
    </w:p>
    <w:p w14:paraId="45B4E389" w14:textId="77777777" w:rsidR="00E66BFC" w:rsidRDefault="00E66BFC">
      <w:pPr>
        <w:pStyle w:val="Normal1"/>
      </w:pPr>
    </w:p>
    <w:p w14:paraId="4789E340" w14:textId="77777777" w:rsidR="00E66BFC" w:rsidRDefault="00844085">
      <w:pPr>
        <w:pStyle w:val="Normal1"/>
      </w:pPr>
      <w:r>
        <w:t xml:space="preserve">In 2013, the </w:t>
      </w:r>
      <w:proofErr w:type="spellStart"/>
      <w:r>
        <w:t>InCommon</w:t>
      </w:r>
      <w:proofErr w:type="spellEnd"/>
      <w:r>
        <w:t xml:space="preserve"> Technical Advisory Committee (TAC) appointed two working groups to explore the requirements for </w:t>
      </w:r>
      <w:proofErr w:type="spellStart"/>
      <w:r>
        <w:t>interfederation</w:t>
      </w:r>
      <w:proofErr w:type="spellEnd"/>
      <w:r>
        <w:t>.</w:t>
      </w:r>
      <w:r>
        <w:rPr>
          <w:vertAlign w:val="superscript"/>
        </w:rPr>
        <w:footnoteReference w:id="2"/>
      </w:r>
      <w:r>
        <w:t xml:space="preserve"> Based on these working group reports, and recommendations from the </w:t>
      </w:r>
      <w:proofErr w:type="spellStart"/>
      <w:r>
        <w:t>InCommon</w:t>
      </w:r>
      <w:proofErr w:type="spellEnd"/>
      <w:r>
        <w:t xml:space="preserve"> Steering Committee and the </w:t>
      </w:r>
      <w:proofErr w:type="spellStart"/>
      <w:r>
        <w:t>InCommon</w:t>
      </w:r>
      <w:proofErr w:type="spellEnd"/>
      <w:r>
        <w:t xml:space="preserve"> TAC, Internet2 joined </w:t>
      </w:r>
      <w:proofErr w:type="spellStart"/>
      <w:r>
        <w:t>eduGAIN</w:t>
      </w:r>
      <w:proofErr w:type="spellEnd"/>
      <w:r>
        <w:t xml:space="preserve"> in April 2014 to facilitate </w:t>
      </w:r>
      <w:proofErr w:type="spellStart"/>
      <w:r>
        <w:t>interfederation</w:t>
      </w:r>
      <w:proofErr w:type="spellEnd"/>
      <w:r>
        <w:t xml:space="preserve"> and enable international collaboration. </w:t>
      </w:r>
      <w:proofErr w:type="spellStart"/>
      <w:r>
        <w:t>InCommon</w:t>
      </w:r>
      <w:proofErr w:type="spellEnd"/>
      <w:r>
        <w:t xml:space="preserve"> has conducted a pilot to develop a proposed technical implementation process. The </w:t>
      </w:r>
      <w:proofErr w:type="spellStart"/>
      <w:r>
        <w:t>eduGAIN</w:t>
      </w:r>
      <w:proofErr w:type="spellEnd"/>
      <w:r>
        <w:t xml:space="preserve"> Policy and Community Working Group (PCWG), commissioned by the </w:t>
      </w:r>
      <w:proofErr w:type="spellStart"/>
      <w:r>
        <w:t>InCommon</w:t>
      </w:r>
      <w:proofErr w:type="spellEnd"/>
      <w:r>
        <w:t xml:space="preserve"> Steering Committee, has recommended legal and policy changes to accommodate this new functionality.</w:t>
      </w:r>
      <w:r>
        <w:rPr>
          <w:vertAlign w:val="superscript"/>
        </w:rPr>
        <w:footnoteReference w:id="3"/>
      </w:r>
      <w:r>
        <w:t xml:space="preserve"> The New Entities Working Group, charged by the </w:t>
      </w:r>
      <w:proofErr w:type="spellStart"/>
      <w:r>
        <w:t>InCommon</w:t>
      </w:r>
      <w:proofErr w:type="spellEnd"/>
      <w:r>
        <w:t xml:space="preserve"> Technical Advisory Committee, has recommended policies and practices related to </w:t>
      </w:r>
      <w:proofErr w:type="spellStart"/>
      <w:r>
        <w:t>interfederation</w:t>
      </w:r>
      <w:proofErr w:type="spellEnd"/>
      <w:r>
        <w:t xml:space="preserve">, specifically accommodating entities from other federations appearing in </w:t>
      </w:r>
      <w:proofErr w:type="spellStart"/>
      <w:r>
        <w:t>InCommon</w:t>
      </w:r>
      <w:proofErr w:type="spellEnd"/>
      <w:r>
        <w:t xml:space="preserve"> metadata.</w:t>
      </w:r>
      <w:r>
        <w:rPr>
          <w:vertAlign w:val="superscript"/>
        </w:rPr>
        <w:footnoteReference w:id="4"/>
      </w:r>
    </w:p>
    <w:p w14:paraId="0FDFD7FC" w14:textId="77777777" w:rsidR="00E66BFC" w:rsidRDefault="00E66BFC">
      <w:pPr>
        <w:pStyle w:val="Normal1"/>
      </w:pPr>
    </w:p>
    <w:p w14:paraId="196D87D6" w14:textId="77777777" w:rsidR="00E66BFC" w:rsidRDefault="00844085">
      <w:pPr>
        <w:pStyle w:val="Normal1"/>
      </w:pPr>
      <w:r>
        <w:t xml:space="preserve">The PCWG explored </w:t>
      </w:r>
      <w:proofErr w:type="spellStart"/>
      <w:r>
        <w:t>InCommon’s</w:t>
      </w:r>
      <w:proofErr w:type="spellEnd"/>
      <w:r>
        <w:t xml:space="preserve"> </w:t>
      </w:r>
      <w:proofErr w:type="spellStart"/>
      <w:r>
        <w:t>interfederation</w:t>
      </w:r>
      <w:proofErr w:type="spellEnd"/>
      <w:r>
        <w:t xml:space="preserve"> participation using these guiding principles: </w:t>
      </w:r>
    </w:p>
    <w:p w14:paraId="1A00D371" w14:textId="77777777" w:rsidR="00E66BFC" w:rsidRDefault="00844085">
      <w:pPr>
        <w:pStyle w:val="Normal1"/>
        <w:numPr>
          <w:ilvl w:val="0"/>
          <w:numId w:val="1"/>
        </w:numPr>
        <w:ind w:hanging="360"/>
        <w:contextualSpacing/>
      </w:pPr>
      <w:r>
        <w:t xml:space="preserve">International </w:t>
      </w:r>
      <w:proofErr w:type="spellStart"/>
      <w:r>
        <w:t>interfederation</w:t>
      </w:r>
      <w:proofErr w:type="spellEnd"/>
      <w:r>
        <w:t xml:space="preserve"> is a cornerstone of </w:t>
      </w:r>
      <w:proofErr w:type="spellStart"/>
      <w:r>
        <w:t>InCommon’s</w:t>
      </w:r>
      <w:proofErr w:type="spellEnd"/>
      <w:r>
        <w:t xml:space="preserve"> support for U.S. research and education, and global collaboration.</w:t>
      </w:r>
    </w:p>
    <w:p w14:paraId="2CBC6075" w14:textId="77777777" w:rsidR="00E66BFC" w:rsidRDefault="00844085">
      <w:pPr>
        <w:pStyle w:val="Normal1"/>
        <w:numPr>
          <w:ilvl w:val="0"/>
          <w:numId w:val="1"/>
        </w:numPr>
        <w:ind w:hanging="360"/>
        <w:contextualSpacing/>
      </w:pPr>
      <w:r>
        <w:t xml:space="preserve">Individual participant organizations will retain control over whether they interact with international organizations. </w:t>
      </w:r>
    </w:p>
    <w:p w14:paraId="51CD2A24" w14:textId="77777777" w:rsidR="00E66BFC" w:rsidRDefault="00844085">
      <w:pPr>
        <w:pStyle w:val="Heading1"/>
        <w:contextualSpacing w:val="0"/>
      </w:pPr>
      <w:bookmarkStart w:id="4" w:name="h.14c7t4ewha9i" w:colFirst="0" w:colLast="0"/>
      <w:bookmarkEnd w:id="4"/>
      <w:r>
        <w:lastRenderedPageBreak/>
        <w:t xml:space="preserve">International </w:t>
      </w:r>
      <w:proofErr w:type="spellStart"/>
      <w:r>
        <w:t>Interfederation</w:t>
      </w:r>
      <w:proofErr w:type="spellEnd"/>
      <w:r>
        <w:t xml:space="preserve"> Service: </w:t>
      </w:r>
      <w:proofErr w:type="spellStart"/>
      <w:r>
        <w:t>eduGAIN</w:t>
      </w:r>
      <w:proofErr w:type="spellEnd"/>
    </w:p>
    <w:p w14:paraId="46D6856A" w14:textId="77777777" w:rsidR="00E66BFC" w:rsidRDefault="00844085">
      <w:pPr>
        <w:pStyle w:val="Normal1"/>
      </w:pPr>
      <w:r>
        <w:t xml:space="preserve">Operated by GÉANT, an organization that interconnects Europe’s national research and education networks, </w:t>
      </w:r>
      <w:proofErr w:type="spellStart"/>
      <w:r>
        <w:t>eduGAIN</w:t>
      </w:r>
      <w:proofErr w:type="spellEnd"/>
      <w:r>
        <w:t xml:space="preserve"> now serves 40 national identity federations around the world, providing a common lightweight technical and policy infrastructure. Members of all of these federations have the potential to interact with one another. This ultimately allows a researcher to use credentials from his or her home organization and enjoy single sign-on convenience to resources offered through other national federations. Those </w:t>
      </w:r>
      <w:proofErr w:type="spellStart"/>
      <w:r>
        <w:t>InCommon</w:t>
      </w:r>
      <w:proofErr w:type="spellEnd"/>
      <w:r>
        <w:t xml:space="preserve"> Participants offering services via the federation (like a sponsored partner) can, if they choose, offer SSO convenience to international customers and colleagues. </w:t>
      </w:r>
    </w:p>
    <w:p w14:paraId="2EC90149" w14:textId="77777777" w:rsidR="00E66BFC" w:rsidRDefault="00E66BFC">
      <w:pPr>
        <w:pStyle w:val="Normal1"/>
      </w:pPr>
    </w:p>
    <w:p w14:paraId="704315D3" w14:textId="77777777" w:rsidR="00E66BFC" w:rsidRDefault="00844085">
      <w:pPr>
        <w:pStyle w:val="Normal1"/>
      </w:pPr>
      <w:proofErr w:type="spellStart"/>
      <w:r>
        <w:t>eduGAIN</w:t>
      </w:r>
      <w:proofErr w:type="spellEnd"/>
      <w:r>
        <w:t xml:space="preserve"> enables the trustworthy exchange of identity information between federations. To join the service, each national federation must sign an unilateral declaration, be reviewed by its federation peers, and export all or part of its metadata information to </w:t>
      </w:r>
      <w:proofErr w:type="spellStart"/>
      <w:r>
        <w:t>eduGAIN</w:t>
      </w:r>
      <w:proofErr w:type="spellEnd"/>
      <w:r>
        <w:t xml:space="preserve"> (see the illustration below).</w:t>
      </w:r>
      <w:r>
        <w:rPr>
          <w:vertAlign w:val="superscript"/>
        </w:rPr>
        <w:footnoteReference w:id="5"/>
      </w:r>
      <w:r>
        <w:t xml:space="preserve"> The </w:t>
      </w:r>
      <w:proofErr w:type="spellStart"/>
      <w:r>
        <w:t>eduGAIN</w:t>
      </w:r>
      <w:proofErr w:type="spellEnd"/>
      <w:r>
        <w:t xml:space="preserve"> service combines these files and republishes a signed aggregate file (following its technical and security procedures). </w:t>
      </w:r>
    </w:p>
    <w:p w14:paraId="58A9245B" w14:textId="77777777" w:rsidR="00E66BFC" w:rsidRDefault="00E66BFC">
      <w:pPr>
        <w:pStyle w:val="Normal1"/>
      </w:pPr>
    </w:p>
    <w:p w14:paraId="6BE495B1" w14:textId="77777777" w:rsidR="00E66BFC" w:rsidRDefault="00844085">
      <w:pPr>
        <w:pStyle w:val="Normal1"/>
      </w:pPr>
      <w:r>
        <w:t xml:space="preserve">An </w:t>
      </w:r>
      <w:proofErr w:type="spellStart"/>
      <w:r>
        <w:t>eduGAIN</w:t>
      </w:r>
      <w:proofErr w:type="spellEnd"/>
      <w:r>
        <w:t xml:space="preserve"> member-federation imports the global metadata file, does any processing based on its policies and procedures, and publishes that metadata for the use of its members.</w:t>
      </w:r>
      <w:r>
        <w:rPr>
          <w:vertAlign w:val="superscript"/>
        </w:rPr>
        <w:footnoteReference w:id="6"/>
      </w:r>
    </w:p>
    <w:p w14:paraId="3B4F90F3" w14:textId="77777777" w:rsidR="00E66BFC" w:rsidRDefault="00E66BFC">
      <w:pPr>
        <w:pStyle w:val="Normal1"/>
      </w:pPr>
    </w:p>
    <w:p w14:paraId="7678989C" w14:textId="77777777" w:rsidR="00E66BFC" w:rsidRDefault="00844085">
      <w:pPr>
        <w:pStyle w:val="Normal1"/>
      </w:pPr>
      <w:r>
        <w:t xml:space="preserve">The trust model of </w:t>
      </w:r>
      <w:proofErr w:type="spellStart"/>
      <w:r>
        <w:t>eduGAIN</w:t>
      </w:r>
      <w:proofErr w:type="spellEnd"/>
      <w:r>
        <w:t xml:space="preserve"> is simple: operators of </w:t>
      </w:r>
      <w:proofErr w:type="spellStart"/>
      <w:r>
        <w:t>IdPs</w:t>
      </w:r>
      <w:proofErr w:type="spellEnd"/>
      <w:r>
        <w:t xml:space="preserve"> or SPs must follow the policies, rules and legal structure of their home federations. Federations post their practices, in the form of a Metadata Registration Practice Statement, that others can review to determine eligibility, registration practices and other relevant details. It is important to note that not all </w:t>
      </w:r>
      <w:proofErr w:type="spellStart"/>
      <w:r>
        <w:t>eduGAIN</w:t>
      </w:r>
      <w:proofErr w:type="spellEnd"/>
      <w:r>
        <w:t xml:space="preserve"> member federations register participant metadata in the same way as </w:t>
      </w:r>
      <w:proofErr w:type="spellStart"/>
      <w:r>
        <w:t>InCommon</w:t>
      </w:r>
      <w:proofErr w:type="spellEnd"/>
      <w:r>
        <w:t>.</w:t>
      </w:r>
    </w:p>
    <w:p w14:paraId="0B838CD0" w14:textId="77777777" w:rsidR="00E66BFC" w:rsidRDefault="00844085">
      <w:pPr>
        <w:pStyle w:val="Normal1"/>
        <w:jc w:val="center"/>
      </w:pPr>
      <w:r>
        <w:rPr>
          <w:noProof/>
        </w:rPr>
        <w:drawing>
          <wp:anchor distT="114300" distB="114300" distL="114300" distR="114300" simplePos="0" relativeHeight="251658240" behindDoc="0" locked="0" layoutInCell="0" hidden="0" allowOverlap="0" wp14:anchorId="21FA3114" wp14:editId="16398EF5">
            <wp:simplePos x="0" y="0"/>
            <wp:positionH relativeFrom="margin">
              <wp:posOffset>190500</wp:posOffset>
            </wp:positionH>
            <wp:positionV relativeFrom="paragraph">
              <wp:posOffset>0</wp:posOffset>
            </wp:positionV>
            <wp:extent cx="4384891" cy="2414588"/>
            <wp:effectExtent l="0" t="0" r="0" b="0"/>
            <wp:wrapTopAndBottom distT="114300" distB="114300"/>
            <wp:docPr id="1" name="image01.jpg" descr="edugain_graphic_lukas.jpg"/>
            <wp:cNvGraphicFramePr/>
            <a:graphic xmlns:a="http://schemas.openxmlformats.org/drawingml/2006/main">
              <a:graphicData uri="http://schemas.openxmlformats.org/drawingml/2006/picture">
                <pic:pic xmlns:pic="http://schemas.openxmlformats.org/drawingml/2006/picture">
                  <pic:nvPicPr>
                    <pic:cNvPr id="0" name="image01.jpg" descr="edugain_graphic_lukas.jpg"/>
                    <pic:cNvPicPr preferRelativeResize="0"/>
                  </pic:nvPicPr>
                  <pic:blipFill>
                    <a:blip r:embed="rId8"/>
                    <a:srcRect/>
                    <a:stretch>
                      <a:fillRect/>
                    </a:stretch>
                  </pic:blipFill>
                  <pic:spPr>
                    <a:xfrm>
                      <a:off x="0" y="0"/>
                      <a:ext cx="4384891" cy="2414588"/>
                    </a:xfrm>
                    <a:prstGeom prst="rect">
                      <a:avLst/>
                    </a:prstGeom>
                    <a:ln/>
                  </pic:spPr>
                </pic:pic>
              </a:graphicData>
            </a:graphic>
          </wp:anchor>
        </w:drawing>
      </w:r>
    </w:p>
    <w:p w14:paraId="50BDD004" w14:textId="77777777" w:rsidR="00E66BFC" w:rsidRDefault="00844085">
      <w:pPr>
        <w:pStyle w:val="Heading1"/>
        <w:contextualSpacing w:val="0"/>
      </w:pPr>
      <w:bookmarkStart w:id="5" w:name="h.9fj9ub290nrd" w:colFirst="0" w:colLast="0"/>
      <w:bookmarkEnd w:id="5"/>
      <w:proofErr w:type="spellStart"/>
      <w:r>
        <w:lastRenderedPageBreak/>
        <w:t>InCommon</w:t>
      </w:r>
      <w:proofErr w:type="spellEnd"/>
      <w:r>
        <w:t xml:space="preserve"> in the Context of </w:t>
      </w:r>
      <w:proofErr w:type="spellStart"/>
      <w:r>
        <w:t>Interfederation</w:t>
      </w:r>
      <w:proofErr w:type="spellEnd"/>
    </w:p>
    <w:p w14:paraId="1CE21C19" w14:textId="77777777" w:rsidR="00E66BFC" w:rsidRDefault="00844085">
      <w:pPr>
        <w:pStyle w:val="Normal1"/>
      </w:pPr>
      <w:proofErr w:type="spellStart"/>
      <w:r>
        <w:t>Interfederation</w:t>
      </w:r>
      <w:proofErr w:type="spellEnd"/>
      <w:r>
        <w:t xml:space="preserve"> will require changes for the </w:t>
      </w:r>
      <w:proofErr w:type="spellStart"/>
      <w:r>
        <w:t>InCommon</w:t>
      </w:r>
      <w:proofErr w:type="spellEnd"/>
      <w:r>
        <w:t xml:space="preserve"> Federation and may require changes for individual </w:t>
      </w:r>
      <w:proofErr w:type="spellStart"/>
      <w:r>
        <w:t>InCommon</w:t>
      </w:r>
      <w:proofErr w:type="spellEnd"/>
      <w:r>
        <w:t xml:space="preserve"> Participants. This section identifies and describes these changes and offers advice where appropriate.</w:t>
      </w:r>
    </w:p>
    <w:p w14:paraId="295C9B1D" w14:textId="77777777" w:rsidR="00E66BFC" w:rsidRDefault="00E66BFC">
      <w:pPr>
        <w:pStyle w:val="Normal1"/>
      </w:pPr>
    </w:p>
    <w:p w14:paraId="60B76B92" w14:textId="77777777" w:rsidR="00E66BFC" w:rsidRDefault="00844085">
      <w:pPr>
        <w:pStyle w:val="Normal1"/>
      </w:pPr>
      <w:r>
        <w:rPr>
          <w:b/>
        </w:rPr>
        <w:t>Governance:</w:t>
      </w:r>
      <w:r>
        <w:t xml:space="preserve"> </w:t>
      </w:r>
      <w:proofErr w:type="spellStart"/>
      <w:r>
        <w:t>InCommon</w:t>
      </w:r>
      <w:proofErr w:type="spellEnd"/>
      <w:r>
        <w:t xml:space="preserve"> has appointed a delegate and deputy to the </w:t>
      </w:r>
      <w:proofErr w:type="spellStart"/>
      <w:r>
        <w:t>eduGAIN</w:t>
      </w:r>
      <w:proofErr w:type="spellEnd"/>
      <w:r>
        <w:t xml:space="preserve"> Steering Group (</w:t>
      </w:r>
      <w:proofErr w:type="spellStart"/>
      <w:r>
        <w:t>eSG</w:t>
      </w:r>
      <w:proofErr w:type="spellEnd"/>
      <w:r>
        <w:t xml:space="preserve">), which provides oversight and governance for the service. As part of the </w:t>
      </w:r>
      <w:proofErr w:type="spellStart"/>
      <w:r>
        <w:t>eSG</w:t>
      </w:r>
      <w:proofErr w:type="spellEnd"/>
      <w:r>
        <w:t xml:space="preserve">, </w:t>
      </w:r>
      <w:proofErr w:type="spellStart"/>
      <w:r>
        <w:t>InCommon</w:t>
      </w:r>
      <w:proofErr w:type="spellEnd"/>
      <w:r>
        <w:t xml:space="preserve"> participates in discussions and adheres to decisions made on policy and technical matters, such as changes to the documents governing service capabilities, eligibility, technical requirements and dispute resolution. The service is stewarded by the </w:t>
      </w:r>
      <w:proofErr w:type="spellStart"/>
      <w:r>
        <w:t>eduGAIN</w:t>
      </w:r>
      <w:proofErr w:type="spellEnd"/>
      <w:r>
        <w:t xml:space="preserve"> Executive Committee (</w:t>
      </w:r>
      <w:proofErr w:type="spellStart"/>
      <w:r>
        <w:t>eEC</w:t>
      </w:r>
      <w:proofErr w:type="spellEnd"/>
      <w:r>
        <w:t>), a group currently appointed by GÉANT.</w:t>
      </w:r>
      <w:r>
        <w:rPr>
          <w:vertAlign w:val="superscript"/>
        </w:rPr>
        <w:footnoteReference w:id="7"/>
      </w:r>
      <w:r>
        <w:t xml:space="preserve"> </w:t>
      </w:r>
    </w:p>
    <w:p w14:paraId="77A6972D" w14:textId="77777777" w:rsidR="00E66BFC" w:rsidRDefault="00E66BFC">
      <w:pPr>
        <w:pStyle w:val="Normal1"/>
      </w:pPr>
    </w:p>
    <w:p w14:paraId="4D02A311" w14:textId="77777777" w:rsidR="00E66BFC" w:rsidRDefault="00844085">
      <w:pPr>
        <w:pStyle w:val="Normal1"/>
        <w:numPr>
          <w:ilvl w:val="0"/>
          <w:numId w:val="5"/>
        </w:numPr>
        <w:ind w:hanging="360"/>
        <w:contextualSpacing/>
      </w:pPr>
      <w:proofErr w:type="spellStart"/>
      <w:r>
        <w:t>InCommon</w:t>
      </w:r>
      <w:proofErr w:type="spellEnd"/>
      <w:r>
        <w:t xml:space="preserve"> will report any relevant </w:t>
      </w:r>
      <w:proofErr w:type="spellStart"/>
      <w:r>
        <w:t>eduGAIN</w:t>
      </w:r>
      <w:proofErr w:type="spellEnd"/>
      <w:r>
        <w:t xml:space="preserve"> service changes to the </w:t>
      </w:r>
      <w:proofErr w:type="spellStart"/>
      <w:r>
        <w:t>InCommon</w:t>
      </w:r>
      <w:proofErr w:type="spellEnd"/>
      <w:r>
        <w:t xml:space="preserve"> Steering Committee, the Technical Advisory Committee and the Assurance Advisory Committee. </w:t>
      </w:r>
    </w:p>
    <w:p w14:paraId="7936979E" w14:textId="77777777" w:rsidR="00E66BFC" w:rsidRDefault="00844085">
      <w:pPr>
        <w:pStyle w:val="Normal1"/>
        <w:numPr>
          <w:ilvl w:val="0"/>
          <w:numId w:val="5"/>
        </w:numPr>
        <w:ind w:hanging="360"/>
        <w:contextualSpacing/>
      </w:pPr>
      <w:proofErr w:type="spellStart"/>
      <w:r>
        <w:t>InCommon</w:t>
      </w:r>
      <w:proofErr w:type="spellEnd"/>
      <w:r>
        <w:t xml:space="preserve"> will also provide updates on </w:t>
      </w:r>
      <w:proofErr w:type="spellStart"/>
      <w:r>
        <w:t>interfederation</w:t>
      </w:r>
      <w:proofErr w:type="spellEnd"/>
      <w:r>
        <w:t xml:space="preserve"> to the community as necessary. </w:t>
      </w:r>
    </w:p>
    <w:p w14:paraId="3E637D70" w14:textId="77777777" w:rsidR="00E66BFC" w:rsidRDefault="00E66BFC">
      <w:pPr>
        <w:pStyle w:val="Normal1"/>
      </w:pPr>
    </w:p>
    <w:p w14:paraId="09D0010A" w14:textId="77777777" w:rsidR="00E66BFC" w:rsidRDefault="00844085">
      <w:pPr>
        <w:pStyle w:val="Normal1"/>
      </w:pPr>
      <w:r>
        <w:rPr>
          <w:b/>
        </w:rPr>
        <w:t>Transparency</w:t>
      </w:r>
      <w:r>
        <w:t xml:space="preserve">: Transparency is the basis for trust in </w:t>
      </w:r>
      <w:proofErr w:type="spellStart"/>
      <w:r>
        <w:t>eduGAIN</w:t>
      </w:r>
      <w:proofErr w:type="spellEnd"/>
      <w:r>
        <w:t xml:space="preserve">, just as it is within the </w:t>
      </w:r>
      <w:proofErr w:type="spellStart"/>
      <w:r>
        <w:t>InCommon</w:t>
      </w:r>
      <w:proofErr w:type="spellEnd"/>
      <w:r>
        <w:t xml:space="preserve"> Federation. </w:t>
      </w:r>
      <w:proofErr w:type="spellStart"/>
      <w:r>
        <w:t>eduGAIN</w:t>
      </w:r>
      <w:proofErr w:type="spellEnd"/>
      <w:r>
        <w:t xml:space="preserve"> requires that federations post how they manage their metadata. </w:t>
      </w:r>
      <w:proofErr w:type="spellStart"/>
      <w:r>
        <w:t>InCommon</w:t>
      </w:r>
      <w:proofErr w:type="spellEnd"/>
      <w:r>
        <w:t xml:space="preserve"> publishes its Metadata Registration Practices Statement (MRPS) on its wiki and </w:t>
      </w:r>
      <w:proofErr w:type="spellStart"/>
      <w:r>
        <w:t>eduGAIN</w:t>
      </w:r>
      <w:proofErr w:type="spellEnd"/>
      <w:r>
        <w:t xml:space="preserve"> maintains a list of member federations and their respective MRPSs on its website.</w:t>
      </w:r>
      <w:r>
        <w:rPr>
          <w:vertAlign w:val="superscript"/>
        </w:rPr>
        <w:footnoteReference w:id="8"/>
      </w:r>
    </w:p>
    <w:p w14:paraId="0BC49DD3" w14:textId="77777777" w:rsidR="00E66BFC" w:rsidRDefault="00E66BFC">
      <w:pPr>
        <w:pStyle w:val="Normal1"/>
      </w:pPr>
    </w:p>
    <w:p w14:paraId="10E75C2E" w14:textId="77777777" w:rsidR="00E66BFC" w:rsidRDefault="00844085">
      <w:pPr>
        <w:pStyle w:val="Normal1"/>
      </w:pPr>
      <w:r>
        <w:rPr>
          <w:b/>
        </w:rPr>
        <w:t>Policy Structure</w:t>
      </w:r>
      <w:r>
        <w:t xml:space="preserve">: </w:t>
      </w:r>
      <w:proofErr w:type="spellStart"/>
      <w:r>
        <w:t>InCommon</w:t>
      </w:r>
      <w:proofErr w:type="spellEnd"/>
      <w:r>
        <w:t xml:space="preserve"> Participants have signed the </w:t>
      </w:r>
      <w:proofErr w:type="spellStart"/>
      <w:r>
        <w:t>InCommon</w:t>
      </w:r>
      <w:proofErr w:type="spellEnd"/>
      <w:r>
        <w:t xml:space="preserve"> Participation Agreement and are bound by that document and its rules and practices (and the laws of the United States). Identity Providers and Service Providers from other countries are bound by the rules and practices of their home federations and laws of their countries. </w:t>
      </w:r>
    </w:p>
    <w:p w14:paraId="16C810DA" w14:textId="77777777" w:rsidR="00E66BFC" w:rsidRDefault="00E66BFC">
      <w:pPr>
        <w:pStyle w:val="Normal1"/>
      </w:pPr>
    </w:p>
    <w:p w14:paraId="143B4142" w14:textId="77777777" w:rsidR="00E66BFC" w:rsidRDefault="00844085">
      <w:pPr>
        <w:pStyle w:val="Normal1"/>
        <w:numPr>
          <w:ilvl w:val="0"/>
          <w:numId w:val="6"/>
        </w:numPr>
        <w:ind w:hanging="360"/>
        <w:contextualSpacing/>
      </w:pPr>
      <w:proofErr w:type="spellStart"/>
      <w:r>
        <w:t>InCommon</w:t>
      </w:r>
      <w:proofErr w:type="spellEnd"/>
      <w:r>
        <w:t xml:space="preserve"> will publish a list of questions that organizations should consider when making decisions relating to </w:t>
      </w:r>
      <w:proofErr w:type="spellStart"/>
      <w:r>
        <w:t>interfederating</w:t>
      </w:r>
      <w:proofErr w:type="spellEnd"/>
      <w:r>
        <w:t xml:space="preserve"> with international partners.</w:t>
      </w:r>
      <w:r>
        <w:rPr>
          <w:vertAlign w:val="superscript"/>
        </w:rPr>
        <w:footnoteReference w:id="9"/>
      </w:r>
      <w:r>
        <w:t xml:space="preserve"> </w:t>
      </w:r>
    </w:p>
    <w:p w14:paraId="40432E15" w14:textId="77777777" w:rsidR="00E66BFC" w:rsidRDefault="00844085">
      <w:pPr>
        <w:pStyle w:val="Normal1"/>
        <w:numPr>
          <w:ilvl w:val="0"/>
          <w:numId w:val="6"/>
        </w:numPr>
        <w:ind w:hanging="360"/>
        <w:contextualSpacing/>
      </w:pPr>
      <w:r>
        <w:t xml:space="preserve">Per the </w:t>
      </w:r>
      <w:proofErr w:type="spellStart"/>
      <w:r>
        <w:t>eduGAIN</w:t>
      </w:r>
      <w:proofErr w:type="spellEnd"/>
      <w:r>
        <w:t xml:space="preserve"> PCWG recommendation, </w:t>
      </w:r>
      <w:proofErr w:type="spellStart"/>
      <w:r>
        <w:t>InCommon</w:t>
      </w:r>
      <w:proofErr w:type="spellEnd"/>
      <w:r>
        <w:t xml:space="preserve"> will publish a policy outlining the data it collects about organizations participating in the federation and related identity provider and service provider contacts. </w:t>
      </w:r>
    </w:p>
    <w:p w14:paraId="6C4BC2CE" w14:textId="2156070A" w:rsidR="00E66BFC" w:rsidRDefault="00844085">
      <w:pPr>
        <w:pStyle w:val="Normal1"/>
        <w:numPr>
          <w:ilvl w:val="0"/>
          <w:numId w:val="6"/>
        </w:numPr>
        <w:ind w:hanging="360"/>
        <w:contextualSpacing/>
      </w:pPr>
      <w:proofErr w:type="spellStart"/>
      <w:r>
        <w:t>Interfederation</w:t>
      </w:r>
      <w:proofErr w:type="spellEnd"/>
      <w:r>
        <w:t xml:space="preserve"> with international partners require</w:t>
      </w:r>
      <w:r w:rsidR="00A02ACD">
        <w:t>d</w:t>
      </w:r>
      <w:r>
        <w:t xml:space="preserve"> </w:t>
      </w:r>
      <w:proofErr w:type="spellStart"/>
      <w:r>
        <w:t>InCommon</w:t>
      </w:r>
      <w:proofErr w:type="spellEnd"/>
      <w:r>
        <w:t xml:space="preserve"> to revise the </w:t>
      </w:r>
      <w:proofErr w:type="spellStart"/>
      <w:r>
        <w:t>InCommon</w:t>
      </w:r>
      <w:proofErr w:type="spellEnd"/>
      <w:r>
        <w:t xml:space="preserve"> Participation Agreement. Participants should review these </w:t>
      </w:r>
      <w:r w:rsidR="0094739D">
        <w:t xml:space="preserve">changes prior to </w:t>
      </w:r>
      <w:bookmarkStart w:id="6" w:name="_GoBack"/>
      <w:r w:rsidR="00A026A6">
        <w:t>February</w:t>
      </w:r>
      <w:bookmarkEnd w:id="6"/>
      <w:r w:rsidR="00A026A6">
        <w:t xml:space="preserve"> 11</w:t>
      </w:r>
      <w:r w:rsidR="00A02ACD">
        <w:t>, 2016</w:t>
      </w:r>
      <w:r w:rsidR="0094739D">
        <w:t>, when they take effect.</w:t>
      </w:r>
      <w:r>
        <w:t xml:space="preserve"> </w:t>
      </w:r>
    </w:p>
    <w:p w14:paraId="317D373F" w14:textId="77777777" w:rsidR="00E66BFC" w:rsidRDefault="00E66BFC">
      <w:pPr>
        <w:pStyle w:val="Normal1"/>
      </w:pPr>
    </w:p>
    <w:p w14:paraId="2BBD40A2" w14:textId="77777777" w:rsidR="00E66BFC" w:rsidRDefault="00844085">
      <w:pPr>
        <w:pStyle w:val="Normal1"/>
      </w:pPr>
      <w:r>
        <w:rPr>
          <w:b/>
        </w:rPr>
        <w:t xml:space="preserve">Dispute Resolution: </w:t>
      </w:r>
      <w:r>
        <w:t xml:space="preserve">If organizations from different federations have a dispute that they can’t resolve, </w:t>
      </w:r>
      <w:proofErr w:type="spellStart"/>
      <w:r>
        <w:t>eduGAIN</w:t>
      </w:r>
      <w:proofErr w:type="spellEnd"/>
      <w:r>
        <w:t xml:space="preserve"> requires that the sites engage their national federations to manage the interactions. In this global dispute resolution process, </w:t>
      </w:r>
      <w:proofErr w:type="spellStart"/>
      <w:r>
        <w:t>InCommon</w:t>
      </w:r>
      <w:proofErr w:type="spellEnd"/>
      <w:r>
        <w:t xml:space="preserve"> will use best efforts to work with its participants, </w:t>
      </w:r>
      <w:proofErr w:type="spellStart"/>
      <w:r>
        <w:t>eduGAIN</w:t>
      </w:r>
      <w:proofErr w:type="spellEnd"/>
      <w:r>
        <w:t xml:space="preserve"> and other federations.</w:t>
      </w:r>
    </w:p>
    <w:p w14:paraId="16654B0A" w14:textId="77777777" w:rsidR="00E66BFC" w:rsidRDefault="00E66BFC">
      <w:pPr>
        <w:pStyle w:val="Normal1"/>
      </w:pPr>
    </w:p>
    <w:p w14:paraId="46FC7D59" w14:textId="77777777" w:rsidR="00E66BFC" w:rsidRDefault="00844085">
      <w:pPr>
        <w:pStyle w:val="Normal1"/>
        <w:numPr>
          <w:ilvl w:val="0"/>
          <w:numId w:val="7"/>
        </w:numPr>
        <w:ind w:hanging="360"/>
        <w:contextualSpacing/>
      </w:pPr>
      <w:r>
        <w:t xml:space="preserve">An </w:t>
      </w:r>
      <w:proofErr w:type="spellStart"/>
      <w:r>
        <w:t>InCommon</w:t>
      </w:r>
      <w:proofErr w:type="spellEnd"/>
      <w:r>
        <w:t xml:space="preserve"> Participant that has a dispute with an organization in another federation will follow the published </w:t>
      </w:r>
      <w:proofErr w:type="spellStart"/>
      <w:r>
        <w:t>InCommon</w:t>
      </w:r>
      <w:proofErr w:type="spellEnd"/>
      <w:r>
        <w:t xml:space="preserve"> dispute resolution process, outlined in the Federation Operating Policies and Practices (FOPP).</w:t>
      </w:r>
      <w:r>
        <w:rPr>
          <w:vertAlign w:val="superscript"/>
        </w:rPr>
        <w:footnoteReference w:id="10"/>
      </w:r>
      <w:r>
        <w:t xml:space="preserve"> </w:t>
      </w:r>
    </w:p>
    <w:p w14:paraId="5F619A71" w14:textId="77777777" w:rsidR="00E66BFC" w:rsidRDefault="00E66BFC">
      <w:pPr>
        <w:pStyle w:val="Normal1"/>
      </w:pPr>
    </w:p>
    <w:p w14:paraId="3E6EDC75" w14:textId="77777777" w:rsidR="00E66BFC" w:rsidRDefault="00844085">
      <w:pPr>
        <w:pStyle w:val="Normal1"/>
      </w:pPr>
      <w:r>
        <w:rPr>
          <w:b/>
        </w:rPr>
        <w:t xml:space="preserve">Metadata Sharing: </w:t>
      </w:r>
      <w:proofErr w:type="spellStart"/>
      <w:r>
        <w:t>InCommon</w:t>
      </w:r>
      <w:proofErr w:type="spellEnd"/>
      <w:r>
        <w:t xml:space="preserve"> has always published its metadata aggregate publicly, as have many other research and education federations.</w:t>
      </w:r>
      <w:r>
        <w:rPr>
          <w:vertAlign w:val="superscript"/>
        </w:rPr>
        <w:footnoteReference w:id="11"/>
      </w:r>
      <w:r>
        <w:t xml:space="preserve"> This metadata includes information required for interoperability, security, privacy and troubleshooting, such as identity and service provider URLs, organizational contacts, and public keys. Joining </w:t>
      </w:r>
      <w:proofErr w:type="spellStart"/>
      <w:r>
        <w:t>eduGAIN</w:t>
      </w:r>
      <w:proofErr w:type="spellEnd"/>
      <w:r>
        <w:t xml:space="preserve"> does not change this; it merely provides a common international clearinghouse and sharing mechanism for this information.</w:t>
      </w:r>
      <w:r>
        <w:rPr>
          <w:vertAlign w:val="superscript"/>
        </w:rPr>
        <w:footnoteReference w:id="12"/>
      </w:r>
    </w:p>
    <w:p w14:paraId="3E0C5490" w14:textId="77777777" w:rsidR="00E66BFC" w:rsidRDefault="00E66BFC">
      <w:pPr>
        <w:pStyle w:val="Normal1"/>
      </w:pPr>
    </w:p>
    <w:p w14:paraId="7A14ECE7" w14:textId="77777777" w:rsidR="00E66BFC" w:rsidRDefault="00844085">
      <w:pPr>
        <w:pStyle w:val="Normal1"/>
      </w:pPr>
      <w:proofErr w:type="spellStart"/>
      <w:r>
        <w:t>InCommon</w:t>
      </w:r>
      <w:proofErr w:type="spellEnd"/>
      <w:r>
        <w:t xml:space="preserve"> will conform to the </w:t>
      </w:r>
      <w:proofErr w:type="spellStart"/>
      <w:r>
        <w:t>eduGAIN</w:t>
      </w:r>
      <w:proofErr w:type="spellEnd"/>
      <w:r>
        <w:t xml:space="preserve"> Metadata Profile, which defines rules for submitting metadata to the </w:t>
      </w:r>
      <w:proofErr w:type="spellStart"/>
      <w:r>
        <w:t>eduGAIN</w:t>
      </w:r>
      <w:proofErr w:type="spellEnd"/>
      <w:r>
        <w:t xml:space="preserve"> Metadata Service.</w:t>
      </w:r>
      <w:r>
        <w:rPr>
          <w:vertAlign w:val="superscript"/>
        </w:rPr>
        <w:footnoteReference w:id="13"/>
      </w:r>
      <w:r>
        <w:t xml:space="preserve"> </w:t>
      </w:r>
    </w:p>
    <w:p w14:paraId="0FD15CE5" w14:textId="77777777" w:rsidR="00E66BFC" w:rsidRDefault="00E66BFC">
      <w:pPr>
        <w:pStyle w:val="Normal1"/>
      </w:pPr>
    </w:p>
    <w:p w14:paraId="6DE58425" w14:textId="77777777" w:rsidR="00E66BFC" w:rsidRDefault="00844085">
      <w:pPr>
        <w:pStyle w:val="Normal1"/>
        <w:numPr>
          <w:ilvl w:val="0"/>
          <w:numId w:val="3"/>
        </w:numPr>
        <w:ind w:hanging="360"/>
        <w:contextualSpacing/>
      </w:pPr>
      <w:proofErr w:type="spellStart"/>
      <w:r>
        <w:t>InCommon</w:t>
      </w:r>
      <w:proofErr w:type="spellEnd"/>
      <w:r>
        <w:t xml:space="preserve"> will communicate how it will import and export metadata to and from </w:t>
      </w:r>
      <w:proofErr w:type="spellStart"/>
      <w:r>
        <w:t>eduGAIN</w:t>
      </w:r>
      <w:proofErr w:type="spellEnd"/>
      <w:r>
        <w:t>.</w:t>
      </w:r>
    </w:p>
    <w:p w14:paraId="190B802C" w14:textId="77777777" w:rsidR="00E66BFC" w:rsidRDefault="00844085">
      <w:pPr>
        <w:pStyle w:val="Normal1"/>
        <w:numPr>
          <w:ilvl w:val="0"/>
          <w:numId w:val="3"/>
        </w:numPr>
        <w:ind w:hanging="360"/>
        <w:contextualSpacing/>
      </w:pPr>
      <w:r>
        <w:t>Just as with current policy, organizations retain the ability to decide whether or not they will interact with partners.</w:t>
      </w:r>
    </w:p>
    <w:p w14:paraId="6940CDDB" w14:textId="77777777" w:rsidR="00E66BFC" w:rsidRDefault="00844085">
      <w:pPr>
        <w:pStyle w:val="Normal1"/>
        <w:numPr>
          <w:ilvl w:val="0"/>
          <w:numId w:val="3"/>
        </w:numPr>
        <w:ind w:hanging="360"/>
        <w:contextualSpacing/>
      </w:pPr>
      <w:proofErr w:type="spellStart"/>
      <w:r>
        <w:t>InCommon</w:t>
      </w:r>
      <w:proofErr w:type="spellEnd"/>
      <w:r>
        <w:t xml:space="preserve"> strongly recommends that all identity providers and global service providers participate in international federation service. However, organizations can request not to do so. </w:t>
      </w:r>
    </w:p>
    <w:p w14:paraId="76263B66" w14:textId="77777777" w:rsidR="00E66BFC" w:rsidRDefault="00844085">
      <w:pPr>
        <w:pStyle w:val="Normal1"/>
        <w:numPr>
          <w:ilvl w:val="0"/>
          <w:numId w:val="3"/>
        </w:numPr>
        <w:ind w:hanging="360"/>
        <w:contextualSpacing/>
      </w:pPr>
      <w:proofErr w:type="spellStart"/>
      <w:r>
        <w:t>InCommon</w:t>
      </w:r>
      <w:proofErr w:type="spellEnd"/>
      <w:r>
        <w:t xml:space="preserve"> will publish guidelines for implementing these local decisions.</w:t>
      </w:r>
    </w:p>
    <w:p w14:paraId="33C1A706" w14:textId="77777777" w:rsidR="00E66BFC" w:rsidRDefault="00E66BFC">
      <w:pPr>
        <w:pStyle w:val="Normal1"/>
      </w:pPr>
    </w:p>
    <w:p w14:paraId="27316B78" w14:textId="77777777" w:rsidR="00E66BFC" w:rsidRDefault="00844085">
      <w:pPr>
        <w:pStyle w:val="Normal1"/>
      </w:pPr>
      <w:r>
        <w:rPr>
          <w:b/>
        </w:rPr>
        <w:t>Attribute Schema:</w:t>
      </w:r>
      <w:r>
        <w:t xml:space="preserve"> The </w:t>
      </w:r>
      <w:proofErr w:type="spellStart"/>
      <w:r>
        <w:t>eduGAIN</w:t>
      </w:r>
      <w:proofErr w:type="spellEnd"/>
      <w:r>
        <w:t xml:space="preserve"> Attribute Profile recommends the user information to be included in attribute exchange.</w:t>
      </w:r>
      <w:r>
        <w:rPr>
          <w:vertAlign w:val="superscript"/>
        </w:rPr>
        <w:footnoteReference w:id="14"/>
      </w:r>
    </w:p>
    <w:p w14:paraId="2DF4AFB7" w14:textId="77777777" w:rsidR="00E66BFC" w:rsidRDefault="00E66BFC">
      <w:pPr>
        <w:pStyle w:val="Normal1"/>
      </w:pPr>
    </w:p>
    <w:p w14:paraId="1F05C025" w14:textId="77777777" w:rsidR="00E66BFC" w:rsidRDefault="00844085">
      <w:pPr>
        <w:pStyle w:val="Normal1"/>
        <w:numPr>
          <w:ilvl w:val="0"/>
          <w:numId w:val="8"/>
        </w:numPr>
        <w:ind w:hanging="360"/>
        <w:contextualSpacing/>
      </w:pPr>
      <w:r>
        <w:t xml:space="preserve">Like </w:t>
      </w:r>
      <w:proofErr w:type="spellStart"/>
      <w:r>
        <w:t>InCommon</w:t>
      </w:r>
      <w:proofErr w:type="spellEnd"/>
      <w:r>
        <w:t xml:space="preserve">, </w:t>
      </w:r>
      <w:proofErr w:type="spellStart"/>
      <w:r>
        <w:t>eduGAIN</w:t>
      </w:r>
      <w:proofErr w:type="spellEnd"/>
      <w:r>
        <w:t xml:space="preserve"> uses the </w:t>
      </w:r>
      <w:proofErr w:type="spellStart"/>
      <w:r>
        <w:t>eduPerson</w:t>
      </w:r>
      <w:proofErr w:type="spellEnd"/>
      <w:r>
        <w:t xml:space="preserve"> schema. No further attribute schemas need to be supported.  </w:t>
      </w:r>
      <w:r>
        <w:br/>
      </w:r>
    </w:p>
    <w:p w14:paraId="3AA91BEA" w14:textId="77777777" w:rsidR="00E66BFC" w:rsidRDefault="00844085">
      <w:pPr>
        <w:pStyle w:val="Normal1"/>
      </w:pPr>
      <w:r>
        <w:rPr>
          <w:b/>
        </w:rPr>
        <w:t xml:space="preserve">Research and Scholarship Service Category: </w:t>
      </w:r>
      <w:r>
        <w:t>The Research and Scholarship (R&amp;S) Service Category</w:t>
      </w:r>
      <w:r>
        <w:rPr>
          <w:vertAlign w:val="superscript"/>
        </w:rPr>
        <w:footnoteReference w:id="15"/>
      </w:r>
      <w:r>
        <w:t xml:space="preserve"> includes Service Providers that support research and scholarship collaboration. Identity Providers can release a small set of attributes to the entire category of services. As additional services meet the qualifications of the category, researchers from campuses </w:t>
      </w:r>
      <w:r>
        <w:lastRenderedPageBreak/>
        <w:t xml:space="preserve">supporting R&amp;S can automatically access these new services. Through </w:t>
      </w:r>
      <w:proofErr w:type="spellStart"/>
      <w:r>
        <w:t>eduGAIN</w:t>
      </w:r>
      <w:proofErr w:type="spellEnd"/>
      <w:r>
        <w:t xml:space="preserve">, </w:t>
      </w:r>
      <w:proofErr w:type="spellStart"/>
      <w:r>
        <w:t>InCommon</w:t>
      </w:r>
      <w:proofErr w:type="spellEnd"/>
      <w:r>
        <w:t xml:space="preserve"> Participants will have this same convenience of interaction with international R&amp;S services.</w:t>
      </w:r>
      <w:r>
        <w:rPr>
          <w:vertAlign w:val="superscript"/>
        </w:rPr>
        <w:footnoteReference w:id="16"/>
      </w:r>
      <w:r>
        <w:t xml:space="preserve"> </w:t>
      </w:r>
    </w:p>
    <w:p w14:paraId="04A0BCFF" w14:textId="77777777" w:rsidR="00E66BFC" w:rsidRDefault="00E66BFC">
      <w:pPr>
        <w:pStyle w:val="Normal1"/>
      </w:pPr>
    </w:p>
    <w:p w14:paraId="257F4613" w14:textId="77777777" w:rsidR="00E66BFC" w:rsidRDefault="00844085">
      <w:pPr>
        <w:pStyle w:val="Normal1"/>
        <w:numPr>
          <w:ilvl w:val="0"/>
          <w:numId w:val="9"/>
        </w:numPr>
        <w:ind w:hanging="360"/>
        <w:contextualSpacing/>
      </w:pPr>
      <w:proofErr w:type="spellStart"/>
      <w:r>
        <w:t>InCommon</w:t>
      </w:r>
      <w:proofErr w:type="spellEnd"/>
      <w:r>
        <w:t xml:space="preserve"> strongly encourages Identity Providers and qualifying Service Providers to participate in the global R&amp;S program to streamline access to services.</w:t>
      </w:r>
      <w:r>
        <w:rPr>
          <w:vertAlign w:val="superscript"/>
        </w:rPr>
        <w:footnoteReference w:id="17"/>
      </w:r>
    </w:p>
    <w:p w14:paraId="1EB00CAA" w14:textId="77777777" w:rsidR="00E66BFC" w:rsidRDefault="00E66BFC">
      <w:pPr>
        <w:pStyle w:val="Normal1"/>
      </w:pPr>
    </w:p>
    <w:p w14:paraId="62E28D5A" w14:textId="77777777" w:rsidR="00E66BFC" w:rsidRDefault="00844085">
      <w:pPr>
        <w:pStyle w:val="Normal1"/>
      </w:pPr>
      <w:r>
        <w:rPr>
          <w:b/>
        </w:rPr>
        <w:t>Other Categories and Services:</w:t>
      </w:r>
      <w:r>
        <w:t xml:space="preserve"> </w:t>
      </w:r>
      <w:proofErr w:type="spellStart"/>
      <w:r>
        <w:t>InCommon</w:t>
      </w:r>
      <w:proofErr w:type="spellEnd"/>
      <w:r>
        <w:t xml:space="preserve"> will collaborate with other international federations in the creation of categories and services that benefit </w:t>
      </w:r>
      <w:proofErr w:type="spellStart"/>
      <w:r>
        <w:t>InCommon</w:t>
      </w:r>
      <w:proofErr w:type="spellEnd"/>
      <w:r>
        <w:t xml:space="preserve"> Participants and the global research and education community.</w:t>
      </w:r>
      <w:r>
        <w:br/>
      </w:r>
    </w:p>
    <w:p w14:paraId="2855AD5C" w14:textId="77777777" w:rsidR="00E66BFC" w:rsidRDefault="00844085">
      <w:pPr>
        <w:pStyle w:val="Normal1"/>
        <w:numPr>
          <w:ilvl w:val="0"/>
          <w:numId w:val="2"/>
        </w:numPr>
        <w:ind w:hanging="360"/>
        <w:contextualSpacing/>
      </w:pPr>
      <w:r>
        <w:t xml:space="preserve">Any proposed new international categories or federation-level services will be reviewed by the </w:t>
      </w:r>
      <w:proofErr w:type="spellStart"/>
      <w:r>
        <w:t>InCommon</w:t>
      </w:r>
      <w:proofErr w:type="spellEnd"/>
      <w:r>
        <w:t xml:space="preserve"> community before implementation.</w:t>
      </w:r>
    </w:p>
    <w:p w14:paraId="79E858F7" w14:textId="77777777" w:rsidR="00E66BFC" w:rsidRDefault="00844085">
      <w:pPr>
        <w:pStyle w:val="Heading1"/>
        <w:contextualSpacing w:val="0"/>
      </w:pPr>
      <w:bookmarkStart w:id="7" w:name="h.v31r605ku7nd" w:colFirst="0" w:colLast="0"/>
      <w:bookmarkEnd w:id="7"/>
      <w:r>
        <w:t>Implementation Approach and Timeline</w:t>
      </w:r>
    </w:p>
    <w:p w14:paraId="61AA04EC" w14:textId="77777777" w:rsidR="00E66BFC" w:rsidRDefault="00844085">
      <w:pPr>
        <w:pStyle w:val="Normal1"/>
      </w:pPr>
      <w:r>
        <w:t xml:space="preserve">Given the strategic nature of </w:t>
      </w:r>
      <w:proofErr w:type="spellStart"/>
      <w:r>
        <w:t>interfederation</w:t>
      </w:r>
      <w:proofErr w:type="spellEnd"/>
      <w:r>
        <w:t xml:space="preserve">, the PCWG recommends that </w:t>
      </w:r>
      <w:proofErr w:type="spellStart"/>
      <w:r>
        <w:t>InCommon</w:t>
      </w:r>
      <w:proofErr w:type="spellEnd"/>
      <w:r>
        <w:t xml:space="preserve"> support the following approach:</w:t>
      </w:r>
    </w:p>
    <w:p w14:paraId="528BC20D" w14:textId="77777777" w:rsidR="00E66BFC" w:rsidRDefault="00E66BFC">
      <w:pPr>
        <w:pStyle w:val="Normal1"/>
      </w:pPr>
    </w:p>
    <w:p w14:paraId="56A05146" w14:textId="77777777" w:rsidR="00E66BFC" w:rsidRDefault="00844085">
      <w:pPr>
        <w:pStyle w:val="Normal1"/>
        <w:numPr>
          <w:ilvl w:val="0"/>
          <w:numId w:val="4"/>
        </w:numPr>
        <w:ind w:hanging="360"/>
        <w:contextualSpacing/>
      </w:pPr>
      <w:r>
        <w:t xml:space="preserve">By default, all </w:t>
      </w:r>
      <w:proofErr w:type="spellStart"/>
      <w:r>
        <w:t>InCommon</w:t>
      </w:r>
      <w:proofErr w:type="spellEnd"/>
      <w:r>
        <w:t xml:space="preserve"> Identity Providers will be included in the metadata exported to </w:t>
      </w:r>
      <w:proofErr w:type="spellStart"/>
      <w:r>
        <w:t>eduGAIN</w:t>
      </w:r>
      <w:proofErr w:type="spellEnd"/>
      <w:r>
        <w:t>. Identity Provider operators will have the opportunity, through the Federation Manager, to choose *not* to include their metadata in the export.</w:t>
      </w:r>
    </w:p>
    <w:p w14:paraId="5F5AE17D" w14:textId="77777777" w:rsidR="00E66BFC" w:rsidRDefault="00844085">
      <w:pPr>
        <w:pStyle w:val="Normal1"/>
        <w:numPr>
          <w:ilvl w:val="0"/>
          <w:numId w:val="4"/>
        </w:numPr>
        <w:ind w:hanging="360"/>
        <w:contextualSpacing/>
      </w:pPr>
      <w:r>
        <w:t xml:space="preserve">By default, all </w:t>
      </w:r>
      <w:proofErr w:type="spellStart"/>
      <w:r>
        <w:t>InCommon</w:t>
      </w:r>
      <w:proofErr w:type="spellEnd"/>
      <w:r>
        <w:t xml:space="preserve"> Service Providers will *not* be included in the metadata exported to </w:t>
      </w:r>
      <w:proofErr w:type="spellStart"/>
      <w:r>
        <w:t>eduGAIN</w:t>
      </w:r>
      <w:proofErr w:type="spellEnd"/>
      <w:r>
        <w:t>. Service Provider operators will have the opportunity, through the Federation Manager, to choose to include their metadata in the export.</w:t>
      </w:r>
    </w:p>
    <w:p w14:paraId="3C896A4D" w14:textId="77777777" w:rsidR="00E66BFC" w:rsidRDefault="00E66BFC">
      <w:pPr>
        <w:pStyle w:val="Normal1"/>
      </w:pPr>
    </w:p>
    <w:p w14:paraId="7EBFE968" w14:textId="77777777" w:rsidR="00E66BFC" w:rsidRDefault="00844085">
      <w:pPr>
        <w:pStyle w:val="Normal1"/>
      </w:pPr>
      <w:r>
        <w:t xml:space="preserve">Organizations still determine with whom they federate, and those that wish to restrict their federation partners to </w:t>
      </w:r>
      <w:proofErr w:type="spellStart"/>
      <w:r>
        <w:t>InCommon</w:t>
      </w:r>
      <w:proofErr w:type="spellEnd"/>
      <w:r>
        <w:t xml:space="preserve"> Participants can do so in their local configuration.</w:t>
      </w:r>
    </w:p>
    <w:p w14:paraId="236A2807" w14:textId="77777777" w:rsidR="00E66BFC" w:rsidRDefault="00844085">
      <w:pPr>
        <w:pStyle w:val="Heading2"/>
        <w:contextualSpacing w:val="0"/>
      </w:pPr>
      <w:bookmarkStart w:id="8" w:name="h.kuowpqa2jxi6" w:colFirst="0" w:colLast="0"/>
      <w:bookmarkEnd w:id="8"/>
      <w:r>
        <w:t>General Timeline and Transition Period</w:t>
      </w:r>
    </w:p>
    <w:p w14:paraId="3A8E6817" w14:textId="7D70E634" w:rsidR="00E66BFC" w:rsidRDefault="00844085">
      <w:pPr>
        <w:pStyle w:val="Normal1"/>
      </w:pPr>
      <w:proofErr w:type="spellStart"/>
      <w:r>
        <w:t>InCommon</w:t>
      </w:r>
      <w:proofErr w:type="spellEnd"/>
      <w:r>
        <w:t xml:space="preserve"> </w:t>
      </w:r>
      <w:r w:rsidR="004E77B9">
        <w:t xml:space="preserve">plans to complete </w:t>
      </w:r>
      <w:r>
        <w:t>the tran</w:t>
      </w:r>
      <w:r w:rsidR="004E77B9">
        <w:t xml:space="preserve">sition to full </w:t>
      </w:r>
      <w:proofErr w:type="spellStart"/>
      <w:r w:rsidR="004E77B9">
        <w:t>interfederation</w:t>
      </w:r>
      <w:proofErr w:type="spellEnd"/>
      <w:r w:rsidR="004E77B9">
        <w:t xml:space="preserve"> in the spring of 2016.</w:t>
      </w:r>
    </w:p>
    <w:p w14:paraId="043C0224" w14:textId="77777777" w:rsidR="00E66BFC" w:rsidRDefault="00E66BFC">
      <w:pPr>
        <w:pStyle w:val="Normal1"/>
      </w:pPr>
    </w:p>
    <w:p w14:paraId="0D2AD302" w14:textId="04E7BC91" w:rsidR="00E66BFC" w:rsidRDefault="00844085">
      <w:pPr>
        <w:pStyle w:val="Normal1"/>
        <w:numPr>
          <w:ilvl w:val="0"/>
          <w:numId w:val="10"/>
        </w:numPr>
        <w:ind w:hanging="360"/>
        <w:contextualSpacing/>
      </w:pPr>
      <w:proofErr w:type="spellStart"/>
      <w:r>
        <w:t>InCommon</w:t>
      </w:r>
      <w:proofErr w:type="spellEnd"/>
      <w:r>
        <w:t xml:space="preserve"> will provide a series of communications and training sessions for both managers and implementers about the ramifications of </w:t>
      </w:r>
      <w:proofErr w:type="spellStart"/>
      <w:r>
        <w:t>interfederation</w:t>
      </w:r>
      <w:proofErr w:type="spellEnd"/>
      <w:r>
        <w:t xml:space="preserve"> and about planning for deployment.</w:t>
      </w:r>
    </w:p>
    <w:p w14:paraId="3EEDA27B" w14:textId="29C17173" w:rsidR="00E66BFC" w:rsidRDefault="00541EE9">
      <w:pPr>
        <w:pStyle w:val="Normal1"/>
        <w:numPr>
          <w:ilvl w:val="0"/>
          <w:numId w:val="10"/>
        </w:numPr>
        <w:ind w:hanging="360"/>
        <w:contextualSpacing/>
      </w:pPr>
      <w:r>
        <w:t xml:space="preserve">Once approved by </w:t>
      </w:r>
      <w:proofErr w:type="spellStart"/>
      <w:r>
        <w:t>InCommon</w:t>
      </w:r>
      <w:proofErr w:type="spellEnd"/>
      <w:r>
        <w:t xml:space="preserve"> Steering, </w:t>
      </w:r>
      <w:proofErr w:type="spellStart"/>
      <w:r w:rsidR="00844085">
        <w:t>InCommon</w:t>
      </w:r>
      <w:proofErr w:type="spellEnd"/>
      <w:r w:rsidR="00844085">
        <w:t xml:space="preserve"> will release </w:t>
      </w:r>
      <w:r>
        <w:t>the revised</w:t>
      </w:r>
      <w:r w:rsidR="00844085">
        <w:t xml:space="preserve"> </w:t>
      </w:r>
      <w:proofErr w:type="spellStart"/>
      <w:r w:rsidR="0094739D">
        <w:t>InCommon</w:t>
      </w:r>
      <w:proofErr w:type="spellEnd"/>
      <w:r w:rsidR="0094739D">
        <w:t xml:space="preserve"> </w:t>
      </w:r>
      <w:r w:rsidR="00844085">
        <w:t>Participation Agreement and Federation Operator Policies and Practices</w:t>
      </w:r>
      <w:r>
        <w:t>, both of which go into effect 90 days after Steering approval</w:t>
      </w:r>
      <w:r w:rsidR="00844085">
        <w:t xml:space="preserve">. </w:t>
      </w:r>
      <w:proofErr w:type="spellStart"/>
      <w:r w:rsidR="0031328D">
        <w:t>InCommon</w:t>
      </w:r>
      <w:proofErr w:type="spellEnd"/>
      <w:r w:rsidR="0031328D">
        <w:t xml:space="preserve"> will conduct an extensive community outreach effort</w:t>
      </w:r>
      <w:r>
        <w:t xml:space="preserve"> around the changes, answer questions, and take feedback.</w:t>
      </w:r>
    </w:p>
    <w:p w14:paraId="5D8ABBE7" w14:textId="77777777" w:rsidR="00E66BFC" w:rsidRDefault="00844085">
      <w:pPr>
        <w:pStyle w:val="Heading1"/>
        <w:contextualSpacing w:val="0"/>
      </w:pPr>
      <w:bookmarkStart w:id="9" w:name="h.oi73324mlgyz" w:colFirst="0" w:colLast="0"/>
      <w:bookmarkEnd w:id="9"/>
      <w:r>
        <w:lastRenderedPageBreak/>
        <w:t>Conclusion</w:t>
      </w:r>
    </w:p>
    <w:p w14:paraId="2E57790A" w14:textId="77777777" w:rsidR="00E66BFC" w:rsidRDefault="00844085">
      <w:pPr>
        <w:pStyle w:val="Normal1"/>
      </w:pPr>
      <w:r>
        <w:t xml:space="preserve">The </w:t>
      </w:r>
      <w:proofErr w:type="spellStart"/>
      <w:r>
        <w:t>InCommon</w:t>
      </w:r>
      <w:proofErr w:type="spellEnd"/>
      <w:r>
        <w:t xml:space="preserve"> Federation was established to support scholarship, teaching and learning, and research. As these activities have evolved to transcend national boundaries, </w:t>
      </w:r>
      <w:proofErr w:type="spellStart"/>
      <w:r>
        <w:t>InCommon</w:t>
      </w:r>
      <w:proofErr w:type="spellEnd"/>
      <w:r>
        <w:t xml:space="preserve"> will become the national springboard to international partners to support these functions and to ease the friction of access for users. While federation and </w:t>
      </w:r>
      <w:proofErr w:type="spellStart"/>
      <w:r>
        <w:t>interfederation</w:t>
      </w:r>
      <w:proofErr w:type="spellEnd"/>
      <w:r>
        <w:t xml:space="preserve"> delivery will evolve over time, the first step towards this vision is to become full participating partners in </w:t>
      </w:r>
      <w:proofErr w:type="spellStart"/>
      <w:r>
        <w:t>eduGAIN</w:t>
      </w:r>
      <w:proofErr w:type="spellEnd"/>
      <w:r>
        <w:t xml:space="preserve">. </w:t>
      </w:r>
    </w:p>
    <w:p w14:paraId="6CCB5297" w14:textId="77777777" w:rsidR="00E66BFC" w:rsidRDefault="00E66BFC">
      <w:pPr>
        <w:pStyle w:val="Normal1"/>
      </w:pPr>
    </w:p>
    <w:p w14:paraId="4F2C6284" w14:textId="77777777" w:rsidR="00E66BFC" w:rsidRDefault="00844085">
      <w:pPr>
        <w:pStyle w:val="Normal1"/>
      </w:pPr>
      <w:r>
        <w:t xml:space="preserve">Using this service places a number of requirements on </w:t>
      </w:r>
      <w:proofErr w:type="spellStart"/>
      <w:r>
        <w:t>InCommon</w:t>
      </w:r>
      <w:proofErr w:type="spellEnd"/>
      <w:r>
        <w:t xml:space="preserve"> and </w:t>
      </w:r>
      <w:proofErr w:type="spellStart"/>
      <w:r>
        <w:t>InCommon</w:t>
      </w:r>
      <w:proofErr w:type="spellEnd"/>
      <w:r>
        <w:t xml:space="preserve"> Participants. </w:t>
      </w:r>
      <w:proofErr w:type="spellStart"/>
      <w:r>
        <w:t>InCommon</w:t>
      </w:r>
      <w:proofErr w:type="spellEnd"/>
      <w:r>
        <w:t xml:space="preserve"> Steering and Technical Advisory Committees commissioned two community groups, the </w:t>
      </w:r>
      <w:proofErr w:type="spellStart"/>
      <w:r>
        <w:t>eduGAIN</w:t>
      </w:r>
      <w:proofErr w:type="spellEnd"/>
      <w:r>
        <w:t xml:space="preserve"> Policy and Community Working Group and the New Entities Working Group, to determine the policy and technical ramifications of this change. These two groups developed a set of recommendations that support this international vision while still enabling </w:t>
      </w:r>
      <w:proofErr w:type="spellStart"/>
      <w:r>
        <w:t>InCommon</w:t>
      </w:r>
      <w:proofErr w:type="spellEnd"/>
      <w:r>
        <w:t xml:space="preserve"> Participants to choose with whom to federate. </w:t>
      </w:r>
    </w:p>
    <w:p w14:paraId="74CC3EF0" w14:textId="77777777" w:rsidR="00E66BFC" w:rsidRDefault="00E66BFC">
      <w:pPr>
        <w:pStyle w:val="Normal1"/>
      </w:pPr>
    </w:p>
    <w:p w14:paraId="5A9766FC" w14:textId="5D9F9BD6" w:rsidR="00E66BFC" w:rsidRDefault="00844085">
      <w:pPr>
        <w:pStyle w:val="Normal1"/>
      </w:pPr>
      <w:r>
        <w:t xml:space="preserve">To help the community understand the impact on their organizations, </w:t>
      </w:r>
      <w:proofErr w:type="spellStart"/>
      <w:r>
        <w:t>InCommon</w:t>
      </w:r>
      <w:proofErr w:type="spellEnd"/>
      <w:r>
        <w:t xml:space="preserve"> will host calls, webinars and training sessions to help participants understand what they need to do to best support their organization and make a decision about </w:t>
      </w:r>
      <w:proofErr w:type="spellStart"/>
      <w:r>
        <w:t>interfederation</w:t>
      </w:r>
      <w:proofErr w:type="spellEnd"/>
      <w:r>
        <w:t xml:space="preserve">. </w:t>
      </w:r>
    </w:p>
    <w:p w14:paraId="1DF24F35" w14:textId="77777777" w:rsidR="0094739D" w:rsidRDefault="0094739D">
      <w:pPr>
        <w:pStyle w:val="Normal1"/>
      </w:pPr>
    </w:p>
    <w:p w14:paraId="7D56BDAA" w14:textId="77777777" w:rsidR="00E66BFC" w:rsidRDefault="00844085">
      <w:pPr>
        <w:pStyle w:val="Normal1"/>
      </w:pPr>
      <w:r>
        <w:br w:type="page"/>
      </w:r>
    </w:p>
    <w:p w14:paraId="24632214" w14:textId="77777777" w:rsidR="00E66BFC" w:rsidRDefault="00844085">
      <w:pPr>
        <w:pStyle w:val="Heading1"/>
        <w:contextualSpacing w:val="0"/>
      </w:pPr>
      <w:bookmarkStart w:id="10" w:name="h.xu8wou1q7npe" w:colFirst="0" w:colLast="0"/>
      <w:bookmarkStart w:id="11" w:name="h.9o2hs595vyrj" w:colFirst="0" w:colLast="0"/>
      <w:bookmarkEnd w:id="10"/>
      <w:bookmarkEnd w:id="11"/>
      <w:r>
        <w:lastRenderedPageBreak/>
        <w:t xml:space="preserve">Appendix A </w:t>
      </w:r>
      <w:proofErr w:type="spellStart"/>
      <w:r>
        <w:t>InCommon</w:t>
      </w:r>
      <w:proofErr w:type="spellEnd"/>
      <w:r>
        <w:t xml:space="preserve"> Working Groups and </w:t>
      </w:r>
      <w:proofErr w:type="spellStart"/>
      <w:r>
        <w:t>eduGAIN</w:t>
      </w:r>
      <w:proofErr w:type="spellEnd"/>
    </w:p>
    <w:p w14:paraId="0A1F1DC1" w14:textId="77777777" w:rsidR="00E66BFC" w:rsidRDefault="00844085">
      <w:pPr>
        <w:pStyle w:val="Normal1"/>
      </w:pPr>
      <w:r>
        <w:t xml:space="preserve">Several working groups contributed to the recommendations in this draft, including two </w:t>
      </w:r>
      <w:proofErr w:type="spellStart"/>
      <w:r>
        <w:t>interfederation</w:t>
      </w:r>
      <w:proofErr w:type="spellEnd"/>
      <w:r>
        <w:t xml:space="preserve"> working groups led by Jim </w:t>
      </w:r>
      <w:proofErr w:type="spellStart"/>
      <w:r>
        <w:t>Basney</w:t>
      </w:r>
      <w:proofErr w:type="spellEnd"/>
      <w:r>
        <w:t xml:space="preserve"> (National Center for Supercomputing Applications) and Warren Anderson (LIGO). Many thanks for their time and attention.</w:t>
      </w:r>
    </w:p>
    <w:p w14:paraId="66C52956" w14:textId="77777777" w:rsidR="00E66BFC" w:rsidRDefault="00844085">
      <w:pPr>
        <w:pStyle w:val="Heading2"/>
        <w:contextualSpacing w:val="0"/>
      </w:pPr>
      <w:bookmarkStart w:id="12" w:name="h.mxw40ltu5r1s" w:colFirst="0" w:colLast="0"/>
      <w:bookmarkEnd w:id="12"/>
      <w:proofErr w:type="spellStart"/>
      <w:r>
        <w:t>eduGAIN</w:t>
      </w:r>
      <w:proofErr w:type="spellEnd"/>
      <w:r>
        <w:t xml:space="preserve"> Policy and Community Working Group</w:t>
      </w:r>
    </w:p>
    <w:p w14:paraId="34CFB93C" w14:textId="77777777" w:rsidR="00E66BFC" w:rsidRDefault="00844085">
      <w:pPr>
        <w:pStyle w:val="Normal1"/>
      </w:pPr>
      <w:r>
        <w:t xml:space="preserve">The </w:t>
      </w:r>
      <w:proofErr w:type="spellStart"/>
      <w:r>
        <w:t>InCommon</w:t>
      </w:r>
      <w:proofErr w:type="spellEnd"/>
      <w:r>
        <w:t xml:space="preserve"> Steering Committee chartered the </w:t>
      </w:r>
      <w:proofErr w:type="spellStart"/>
      <w:r>
        <w:t>eduGAIN</w:t>
      </w:r>
      <w:proofErr w:type="spellEnd"/>
      <w:r>
        <w:t xml:space="preserve"> Policy and Community Working Group (PCWG) to recommend a direction for </w:t>
      </w:r>
      <w:proofErr w:type="spellStart"/>
      <w:r>
        <w:t>InCommon’s</w:t>
      </w:r>
      <w:proofErr w:type="spellEnd"/>
      <w:r>
        <w:t xml:space="preserve"> </w:t>
      </w:r>
      <w:proofErr w:type="spellStart"/>
      <w:r>
        <w:t>eduGAIN</w:t>
      </w:r>
      <w:proofErr w:type="spellEnd"/>
      <w:r>
        <w:t xml:space="preserve"> deployment and to review </w:t>
      </w:r>
      <w:proofErr w:type="spellStart"/>
      <w:r>
        <w:t>InCommon’s</w:t>
      </w:r>
      <w:proofErr w:type="spellEnd"/>
      <w:r>
        <w:t xml:space="preserve"> key policy documents and identify changes needed to align with </w:t>
      </w:r>
      <w:proofErr w:type="spellStart"/>
      <w:r>
        <w:t>eduGAIN</w:t>
      </w:r>
      <w:proofErr w:type="spellEnd"/>
      <w:r>
        <w:t xml:space="preserve"> structure. The PCWG met during the first quarter of 2015 to discuss the trust model and key policy documents underlying the </w:t>
      </w:r>
      <w:proofErr w:type="spellStart"/>
      <w:r>
        <w:t>InCommon</w:t>
      </w:r>
      <w:proofErr w:type="spellEnd"/>
      <w:r>
        <w:t xml:space="preserve"> policy and technical infrastructure (the </w:t>
      </w:r>
      <w:proofErr w:type="spellStart"/>
      <w:r>
        <w:t>InCommon</w:t>
      </w:r>
      <w:proofErr w:type="spellEnd"/>
      <w:r>
        <w:t xml:space="preserve"> Participation Agreement and the Federation Operating Practices and Principles). The PCWG met during the first quarter of 2015 to discuss the trust model and key policy documents underlying the </w:t>
      </w:r>
      <w:proofErr w:type="spellStart"/>
      <w:r>
        <w:t>InCommon</w:t>
      </w:r>
      <w:proofErr w:type="spellEnd"/>
      <w:r>
        <w:t xml:space="preserve"> policy and technical infrastructure (the </w:t>
      </w:r>
      <w:proofErr w:type="spellStart"/>
      <w:r>
        <w:t>InCommon</w:t>
      </w:r>
      <w:proofErr w:type="spellEnd"/>
      <w:r>
        <w:t xml:space="preserve"> Participation Agreement and the Federation Operating Practices and Principles). </w:t>
      </w:r>
    </w:p>
    <w:p w14:paraId="20020957" w14:textId="77777777" w:rsidR="00E66BFC" w:rsidRDefault="00E66BFC">
      <w:pPr>
        <w:pStyle w:val="Normal1"/>
      </w:pPr>
    </w:p>
    <w:p w14:paraId="092D2095" w14:textId="77777777" w:rsidR="00E66BFC" w:rsidRDefault="00844085">
      <w:pPr>
        <w:pStyle w:val="Normal1"/>
      </w:pPr>
      <w:r>
        <w:t>Working Group members:</w:t>
      </w:r>
    </w:p>
    <w:p w14:paraId="23479CAB" w14:textId="77777777" w:rsidR="00E66BFC" w:rsidRDefault="00E66BFC">
      <w:pPr>
        <w:pStyle w:val="Normal1"/>
      </w:pPr>
    </w:p>
    <w:p w14:paraId="0D5209DE" w14:textId="77777777" w:rsidR="00E66BFC" w:rsidRDefault="00844085">
      <w:pPr>
        <w:pStyle w:val="Normal1"/>
      </w:pPr>
      <w:r>
        <w:t>Warren Anderson, LIGO</w:t>
      </w:r>
    </w:p>
    <w:p w14:paraId="1F51308A" w14:textId="77777777" w:rsidR="00E66BFC" w:rsidRDefault="00844085">
      <w:pPr>
        <w:pStyle w:val="Normal1"/>
      </w:pPr>
      <w:r>
        <w:t>Donald Beck, Davidson County Community College</w:t>
      </w:r>
    </w:p>
    <w:p w14:paraId="08BFDC07" w14:textId="77777777" w:rsidR="00E66BFC" w:rsidRDefault="00844085">
      <w:pPr>
        <w:pStyle w:val="Normal1"/>
      </w:pPr>
      <w:r>
        <w:t>Susan Blair, University of Florida</w:t>
      </w:r>
    </w:p>
    <w:p w14:paraId="4368AD5E" w14:textId="77777777" w:rsidR="00E66BFC" w:rsidRDefault="00844085">
      <w:pPr>
        <w:pStyle w:val="Normal1"/>
      </w:pPr>
      <w:r>
        <w:t xml:space="preserve">Steven </w:t>
      </w:r>
      <w:proofErr w:type="spellStart"/>
      <w:r>
        <w:t>Carmody</w:t>
      </w:r>
      <w:proofErr w:type="spellEnd"/>
      <w:r>
        <w:t xml:space="preserve">, Brown University and </w:t>
      </w:r>
      <w:proofErr w:type="spellStart"/>
      <w:r>
        <w:t>InCommon</w:t>
      </w:r>
      <w:proofErr w:type="spellEnd"/>
      <w:r>
        <w:t xml:space="preserve"> Technical Advisory Committee</w:t>
      </w:r>
    </w:p>
    <w:p w14:paraId="21CFCB2A" w14:textId="77777777" w:rsidR="00E66BFC" w:rsidRDefault="00844085">
      <w:pPr>
        <w:pStyle w:val="Normal1"/>
      </w:pPr>
      <w:r>
        <w:t xml:space="preserve">Chris Holmes, Baylor University and </w:t>
      </w:r>
      <w:proofErr w:type="spellStart"/>
      <w:r>
        <w:t>InCommon</w:t>
      </w:r>
      <w:proofErr w:type="spellEnd"/>
      <w:r>
        <w:t xml:space="preserve"> Steering</w:t>
      </w:r>
    </w:p>
    <w:p w14:paraId="3BB1BFD5" w14:textId="77777777" w:rsidR="00E66BFC" w:rsidRDefault="00844085">
      <w:pPr>
        <w:pStyle w:val="Normal1"/>
      </w:pPr>
      <w:r>
        <w:t>Craig Jackson, Indiana University</w:t>
      </w:r>
    </w:p>
    <w:p w14:paraId="2D192359" w14:textId="77777777" w:rsidR="00E66BFC" w:rsidRDefault="00844085">
      <w:pPr>
        <w:pStyle w:val="Normal1"/>
      </w:pPr>
      <w:r>
        <w:t xml:space="preserve">John </w:t>
      </w:r>
      <w:proofErr w:type="spellStart"/>
      <w:r>
        <w:t>Krienke</w:t>
      </w:r>
      <w:proofErr w:type="spellEnd"/>
      <w:r>
        <w:t>, Internet2</w:t>
      </w:r>
    </w:p>
    <w:p w14:paraId="386DE66C" w14:textId="77777777" w:rsidR="00E66BFC" w:rsidRDefault="00844085">
      <w:pPr>
        <w:pStyle w:val="Normal1"/>
      </w:pPr>
      <w:r>
        <w:t xml:space="preserve">Tracy </w:t>
      </w:r>
      <w:proofErr w:type="spellStart"/>
      <w:r>
        <w:t>Mitrano</w:t>
      </w:r>
      <w:proofErr w:type="spellEnd"/>
      <w:r>
        <w:t>, Cornell University</w:t>
      </w:r>
    </w:p>
    <w:p w14:paraId="6B2D95F2" w14:textId="77777777" w:rsidR="00E66BFC" w:rsidRDefault="00844085">
      <w:pPr>
        <w:pStyle w:val="Normal1"/>
      </w:pPr>
      <w:r>
        <w:t xml:space="preserve">Theresa </w:t>
      </w:r>
      <w:proofErr w:type="spellStart"/>
      <w:r>
        <w:t>Semmens</w:t>
      </w:r>
      <w:proofErr w:type="spellEnd"/>
      <w:r>
        <w:t>, Chair, North Dakota State University</w:t>
      </w:r>
    </w:p>
    <w:p w14:paraId="4EDE6783" w14:textId="77777777" w:rsidR="00E66BFC" w:rsidRDefault="00844085">
      <w:pPr>
        <w:pStyle w:val="Normal1"/>
      </w:pPr>
      <w:r>
        <w:t>Von Welch, Center for Applied Security Research</w:t>
      </w:r>
    </w:p>
    <w:p w14:paraId="4535FD82" w14:textId="77777777" w:rsidR="00E66BFC" w:rsidRDefault="00844085">
      <w:pPr>
        <w:pStyle w:val="Normal1"/>
      </w:pPr>
      <w:r>
        <w:t>Ann West, Internet2</w:t>
      </w:r>
    </w:p>
    <w:p w14:paraId="434B33CD" w14:textId="77777777" w:rsidR="00E66BFC" w:rsidRDefault="00844085">
      <w:pPr>
        <w:pStyle w:val="Normal1"/>
      </w:pPr>
      <w:r>
        <w:t xml:space="preserve">Bill </w:t>
      </w:r>
      <w:proofErr w:type="spellStart"/>
      <w:r>
        <w:t>Yock</w:t>
      </w:r>
      <w:proofErr w:type="spellEnd"/>
      <w:r>
        <w:t xml:space="preserve">, University of Washington and </w:t>
      </w:r>
      <w:proofErr w:type="spellStart"/>
      <w:r>
        <w:t>InCommon</w:t>
      </w:r>
      <w:proofErr w:type="spellEnd"/>
      <w:r>
        <w:t xml:space="preserve"> Steering</w:t>
      </w:r>
    </w:p>
    <w:p w14:paraId="370F1591" w14:textId="77777777" w:rsidR="00E66BFC" w:rsidRDefault="00E66BFC">
      <w:pPr>
        <w:pStyle w:val="Normal1"/>
      </w:pPr>
    </w:p>
    <w:p w14:paraId="58BB2A33" w14:textId="77777777" w:rsidR="00E66BFC" w:rsidRDefault="00844085">
      <w:pPr>
        <w:pStyle w:val="Heading2"/>
        <w:contextualSpacing w:val="0"/>
      </w:pPr>
      <w:bookmarkStart w:id="13" w:name="h.9p7ylet45qbj" w:colFirst="0" w:colLast="0"/>
      <w:bookmarkEnd w:id="13"/>
      <w:r>
        <w:t>New Entities Working Group</w:t>
      </w:r>
    </w:p>
    <w:p w14:paraId="1F4ECE28" w14:textId="77777777" w:rsidR="00E66BFC" w:rsidRDefault="00844085">
      <w:pPr>
        <w:pStyle w:val="Normal1"/>
      </w:pPr>
      <w:r>
        <w:t xml:space="preserve">Up until now, the </w:t>
      </w:r>
      <w:proofErr w:type="spellStart"/>
      <w:r>
        <w:t>InCommon</w:t>
      </w:r>
      <w:proofErr w:type="spellEnd"/>
      <w:r>
        <w:t xml:space="preserve"> metadata file contains only Identity Providers and Service Providers (entities) owned and managed by, either directly or indirectly, an </w:t>
      </w:r>
      <w:proofErr w:type="spellStart"/>
      <w:r>
        <w:t>InCommon</w:t>
      </w:r>
      <w:proofErr w:type="spellEnd"/>
      <w:r>
        <w:t xml:space="preserve"> participant. The </w:t>
      </w:r>
      <w:proofErr w:type="spellStart"/>
      <w:r>
        <w:t>InCommon</w:t>
      </w:r>
      <w:proofErr w:type="spellEnd"/>
      <w:r>
        <w:t xml:space="preserve"> Technical Advisory Committee chartered the New Entities Working Group to review how the Federation should include international metadata and other identity and service providers with unusual requirements. The appearance of these new types of entities within the </w:t>
      </w:r>
      <w:proofErr w:type="spellStart"/>
      <w:r>
        <w:t>InCommon</w:t>
      </w:r>
      <w:proofErr w:type="spellEnd"/>
      <w:r>
        <w:t xml:space="preserve"> metadata file will create new risk scenarios for current </w:t>
      </w:r>
      <w:proofErr w:type="spellStart"/>
      <w:r>
        <w:t>InCommon</w:t>
      </w:r>
      <w:proofErr w:type="spellEnd"/>
      <w:r>
        <w:t xml:space="preserve"> members. The mission of this Working Group was to identify what an </w:t>
      </w:r>
      <w:proofErr w:type="spellStart"/>
      <w:r>
        <w:t>IdP</w:t>
      </w:r>
      <w:proofErr w:type="spellEnd"/>
      <w:r>
        <w:t xml:space="preserve"> or SP operator would need to know about policies or practices associated with such entities. The Working Group met during late 2014 and the first part of 2015 to complete its work.</w:t>
      </w:r>
    </w:p>
    <w:p w14:paraId="2D479007" w14:textId="77777777" w:rsidR="00E66BFC" w:rsidRDefault="00844085">
      <w:pPr>
        <w:pStyle w:val="Normal1"/>
      </w:pPr>
      <w:r>
        <w:lastRenderedPageBreak/>
        <w:t xml:space="preserve"> </w:t>
      </w:r>
    </w:p>
    <w:p w14:paraId="2D6D1890" w14:textId="77777777" w:rsidR="00E66BFC" w:rsidRDefault="00844085">
      <w:pPr>
        <w:pStyle w:val="Normal1"/>
      </w:pPr>
      <w:r>
        <w:t>Working Group members:</w:t>
      </w:r>
    </w:p>
    <w:p w14:paraId="4D5412BF" w14:textId="77777777" w:rsidR="00E66BFC" w:rsidRDefault="00E66BFC">
      <w:pPr>
        <w:pStyle w:val="Normal1"/>
      </w:pPr>
    </w:p>
    <w:p w14:paraId="2D5FF956" w14:textId="77777777" w:rsidR="00E66BFC" w:rsidRDefault="00844085">
      <w:pPr>
        <w:pStyle w:val="Normal1"/>
      </w:pPr>
      <w:r>
        <w:t xml:space="preserve">Jim </w:t>
      </w:r>
      <w:proofErr w:type="spellStart"/>
      <w:r>
        <w:t>Jokl</w:t>
      </w:r>
      <w:proofErr w:type="spellEnd"/>
      <w:r>
        <w:t>, Chair, University of Virginia</w:t>
      </w:r>
    </w:p>
    <w:p w14:paraId="55ED2AD0" w14:textId="77777777" w:rsidR="00E66BFC" w:rsidRDefault="00844085">
      <w:pPr>
        <w:pStyle w:val="Normal1"/>
      </w:pPr>
      <w:r>
        <w:t>Warren Anderson, LIGO</w:t>
      </w:r>
    </w:p>
    <w:p w14:paraId="06904DD9" w14:textId="77777777" w:rsidR="00E66BFC" w:rsidRDefault="00844085">
      <w:pPr>
        <w:pStyle w:val="Normal1"/>
      </w:pPr>
      <w:r>
        <w:t xml:space="preserve">Steve </w:t>
      </w:r>
      <w:proofErr w:type="spellStart"/>
      <w:r>
        <w:t>Carmody</w:t>
      </w:r>
      <w:proofErr w:type="spellEnd"/>
      <w:r>
        <w:t xml:space="preserve">, Brown University and </w:t>
      </w:r>
      <w:proofErr w:type="spellStart"/>
      <w:r>
        <w:t>InCommon</w:t>
      </w:r>
      <w:proofErr w:type="spellEnd"/>
      <w:r>
        <w:t xml:space="preserve"> TAC</w:t>
      </w:r>
    </w:p>
    <w:p w14:paraId="690740F7" w14:textId="77777777" w:rsidR="00E66BFC" w:rsidRDefault="00844085">
      <w:pPr>
        <w:pStyle w:val="Normal1"/>
      </w:pPr>
      <w:r>
        <w:t xml:space="preserve">Steve </w:t>
      </w:r>
      <w:proofErr w:type="spellStart"/>
      <w:r>
        <w:t>Devoti</w:t>
      </w:r>
      <w:proofErr w:type="spellEnd"/>
      <w:r>
        <w:t>, University of Wisconsin-Madison</w:t>
      </w:r>
    </w:p>
    <w:p w14:paraId="56543A57" w14:textId="77777777" w:rsidR="00E66BFC" w:rsidRDefault="00844085">
      <w:pPr>
        <w:pStyle w:val="Normal1"/>
      </w:pPr>
      <w:r>
        <w:t xml:space="preserve">Tom </w:t>
      </w:r>
      <w:proofErr w:type="spellStart"/>
      <w:r>
        <w:t>Golson</w:t>
      </w:r>
      <w:proofErr w:type="spellEnd"/>
      <w:r>
        <w:t>, Texas A&amp;M University</w:t>
      </w:r>
    </w:p>
    <w:p w14:paraId="784F0A0C" w14:textId="77777777" w:rsidR="00E66BFC" w:rsidRDefault="00844085">
      <w:pPr>
        <w:pStyle w:val="Normal1"/>
      </w:pPr>
      <w:r>
        <w:t>Eric Goodman, University of California Office of the President</w:t>
      </w:r>
    </w:p>
    <w:p w14:paraId="0B416486" w14:textId="77777777" w:rsidR="00E66BFC" w:rsidRDefault="00844085">
      <w:pPr>
        <w:pStyle w:val="Normal1"/>
      </w:pPr>
      <w:r>
        <w:t>Ken Gray, University of Michigan</w:t>
      </w:r>
    </w:p>
    <w:p w14:paraId="66BA2D63" w14:textId="77777777" w:rsidR="00E66BFC" w:rsidRDefault="00844085">
      <w:pPr>
        <w:pStyle w:val="Normal1"/>
      </w:pPr>
      <w:r>
        <w:t>Michael Hodges, University of Hawaii</w:t>
      </w:r>
    </w:p>
    <w:p w14:paraId="0F6C1E76" w14:textId="77777777" w:rsidR="00E66BFC" w:rsidRDefault="00844085">
      <w:pPr>
        <w:pStyle w:val="Normal1"/>
      </w:pPr>
      <w:r>
        <w:t xml:space="preserve">Scott </w:t>
      </w:r>
      <w:proofErr w:type="spellStart"/>
      <w:r>
        <w:t>Koranda</w:t>
      </w:r>
      <w:proofErr w:type="spellEnd"/>
      <w:r>
        <w:t>, LIGO</w:t>
      </w:r>
    </w:p>
    <w:p w14:paraId="41D95322" w14:textId="77777777" w:rsidR="00E66BFC" w:rsidRDefault="00844085">
      <w:pPr>
        <w:pStyle w:val="Normal1"/>
      </w:pPr>
      <w:r>
        <w:t xml:space="preserve">Steve </w:t>
      </w:r>
      <w:proofErr w:type="spellStart"/>
      <w:r>
        <w:t>Olshansky</w:t>
      </w:r>
      <w:proofErr w:type="spellEnd"/>
      <w:r>
        <w:t>, The Internet Society</w:t>
      </w:r>
    </w:p>
    <w:p w14:paraId="49571704" w14:textId="77777777" w:rsidR="00E66BFC" w:rsidRDefault="00844085">
      <w:pPr>
        <w:pStyle w:val="Normal1"/>
      </w:pPr>
      <w:r>
        <w:t xml:space="preserve">Tom </w:t>
      </w:r>
      <w:proofErr w:type="spellStart"/>
      <w:r>
        <w:t>Scavo</w:t>
      </w:r>
      <w:proofErr w:type="spellEnd"/>
      <w:r>
        <w:t>, Internet2</w:t>
      </w:r>
    </w:p>
    <w:p w14:paraId="2D1AE239" w14:textId="77777777" w:rsidR="00E66BFC" w:rsidRDefault="00844085">
      <w:pPr>
        <w:pStyle w:val="Normal1"/>
      </w:pPr>
      <w:r>
        <w:t xml:space="preserve">Mark </w:t>
      </w:r>
      <w:proofErr w:type="spellStart"/>
      <w:r>
        <w:t>Scheible</w:t>
      </w:r>
      <w:proofErr w:type="spellEnd"/>
      <w:r>
        <w:t>, MCNC</w:t>
      </w:r>
    </w:p>
    <w:p w14:paraId="7B658284" w14:textId="77777777" w:rsidR="00E66BFC" w:rsidRDefault="00844085">
      <w:pPr>
        <w:pStyle w:val="Normal1"/>
      </w:pPr>
      <w:r>
        <w:t>David Walker, Internet2</w:t>
      </w:r>
    </w:p>
    <w:p w14:paraId="004CEBAE" w14:textId="77777777" w:rsidR="00E66BFC" w:rsidRDefault="00844085">
      <w:pPr>
        <w:pStyle w:val="Normal1"/>
      </w:pPr>
      <w:r>
        <w:t>Keith Wessel, University of Illinois</w:t>
      </w:r>
    </w:p>
    <w:sectPr w:rsidR="00E66BF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8DD41" w14:textId="77777777" w:rsidR="009D7D27" w:rsidRDefault="009D7D27">
      <w:pPr>
        <w:spacing w:line="240" w:lineRule="auto"/>
      </w:pPr>
      <w:r>
        <w:separator/>
      </w:r>
    </w:p>
  </w:endnote>
  <w:endnote w:type="continuationSeparator" w:id="0">
    <w:p w14:paraId="1C9D3476" w14:textId="77777777" w:rsidR="009D7D27" w:rsidRDefault="009D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D79A" w14:textId="77777777" w:rsidR="00E66BFC" w:rsidRDefault="00844085">
    <w:pPr>
      <w:pStyle w:val="Normal1"/>
      <w:jc w:val="right"/>
    </w:pPr>
    <w:r>
      <w:fldChar w:fldCharType="begin"/>
    </w:r>
    <w:r>
      <w:instrText>PAGE</w:instrText>
    </w:r>
    <w:r>
      <w:fldChar w:fldCharType="separate"/>
    </w:r>
    <w:r w:rsidR="00A026A6">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BCF0" w14:textId="77777777" w:rsidR="009D7D27" w:rsidRDefault="009D7D27">
      <w:pPr>
        <w:spacing w:line="240" w:lineRule="auto"/>
      </w:pPr>
      <w:r>
        <w:separator/>
      </w:r>
    </w:p>
  </w:footnote>
  <w:footnote w:type="continuationSeparator" w:id="0">
    <w:p w14:paraId="39D24D20" w14:textId="77777777" w:rsidR="009D7D27" w:rsidRDefault="009D7D27">
      <w:pPr>
        <w:spacing w:line="240" w:lineRule="auto"/>
      </w:pPr>
      <w:r>
        <w:continuationSeparator/>
      </w:r>
    </w:p>
  </w:footnote>
  <w:footnote w:id="1">
    <w:p w14:paraId="41A1635F" w14:textId="77777777" w:rsidR="00E66BFC" w:rsidRDefault="00844085">
      <w:pPr>
        <w:pStyle w:val="Normal1"/>
        <w:spacing w:line="240" w:lineRule="auto"/>
      </w:pPr>
      <w:r>
        <w:rPr>
          <w:vertAlign w:val="superscript"/>
        </w:rPr>
        <w:footnoteRef/>
      </w:r>
      <w:r>
        <w:rPr>
          <w:sz w:val="20"/>
          <w:szCs w:val="20"/>
        </w:rPr>
        <w:t xml:space="preserve"> http://services.geant.net/edugain/About_eduGAIN/Pages/Home.aspx</w:t>
      </w:r>
    </w:p>
  </w:footnote>
  <w:footnote w:id="2">
    <w:p w14:paraId="676E0B07" w14:textId="77777777" w:rsidR="00E66BFC" w:rsidRDefault="00844085">
      <w:pPr>
        <w:pStyle w:val="Normal1"/>
        <w:spacing w:line="240" w:lineRule="auto"/>
      </w:pPr>
      <w:r>
        <w:rPr>
          <w:vertAlign w:val="superscript"/>
        </w:rPr>
        <w:footnoteRef/>
      </w:r>
      <w:r>
        <w:rPr>
          <w:sz w:val="20"/>
          <w:szCs w:val="20"/>
        </w:rPr>
        <w:t xml:space="preserve"> See </w:t>
      </w:r>
      <w:hyperlink r:id="rId1">
        <w:r>
          <w:rPr>
            <w:color w:val="1155CC"/>
            <w:sz w:val="20"/>
            <w:szCs w:val="20"/>
            <w:u w:val="single"/>
          </w:rPr>
          <w:t>https://spaces.internet2.edu/display/incinterfed/Interfederation+TAC+Subgroup</w:t>
        </w:r>
      </w:hyperlink>
      <w:r>
        <w:rPr>
          <w:sz w:val="20"/>
          <w:szCs w:val="20"/>
        </w:rPr>
        <w:t xml:space="preserve"> and </w:t>
      </w:r>
      <w:hyperlink r:id="rId2">
        <w:r>
          <w:rPr>
            <w:color w:val="1155CC"/>
            <w:sz w:val="20"/>
            <w:szCs w:val="20"/>
            <w:u w:val="single"/>
          </w:rPr>
          <w:t>https://spaces.internet2.edu/display/incinterfed/Final+Report+to+TAC</w:t>
        </w:r>
      </w:hyperlink>
    </w:p>
  </w:footnote>
  <w:footnote w:id="3">
    <w:p w14:paraId="03A9EB61" w14:textId="77777777" w:rsidR="00E66BFC" w:rsidRDefault="00844085">
      <w:pPr>
        <w:pStyle w:val="Normal1"/>
        <w:spacing w:line="240" w:lineRule="auto"/>
      </w:pPr>
      <w:r>
        <w:rPr>
          <w:vertAlign w:val="superscript"/>
        </w:rPr>
        <w:footnoteRef/>
      </w:r>
      <w:r>
        <w:rPr>
          <w:sz w:val="20"/>
          <w:szCs w:val="20"/>
        </w:rPr>
        <w:t xml:space="preserve"> A summary of the working group’s charge and a list of members is at the end of this paper.</w:t>
      </w:r>
    </w:p>
  </w:footnote>
  <w:footnote w:id="4">
    <w:p w14:paraId="28B7A7EE" w14:textId="77777777" w:rsidR="00E66BFC" w:rsidRDefault="00844085">
      <w:pPr>
        <w:pStyle w:val="Normal1"/>
        <w:spacing w:line="240" w:lineRule="auto"/>
      </w:pPr>
      <w:r>
        <w:rPr>
          <w:vertAlign w:val="superscript"/>
        </w:rPr>
        <w:footnoteRef/>
      </w:r>
      <w:r>
        <w:rPr>
          <w:sz w:val="20"/>
          <w:szCs w:val="20"/>
        </w:rPr>
        <w:t xml:space="preserve"> The New Entities Working Group has published its recommendations at https://spaces.internet2.edu/display/NewEntities/Home</w:t>
      </w:r>
    </w:p>
  </w:footnote>
  <w:footnote w:id="5">
    <w:p w14:paraId="28B21813" w14:textId="77777777" w:rsidR="00E66BFC" w:rsidRDefault="00844085">
      <w:pPr>
        <w:pStyle w:val="Normal1"/>
        <w:spacing w:line="240" w:lineRule="auto"/>
      </w:pPr>
      <w:r>
        <w:rPr>
          <w:vertAlign w:val="superscript"/>
        </w:rPr>
        <w:footnoteRef/>
      </w:r>
      <w:r>
        <w:rPr>
          <w:sz w:val="20"/>
          <w:szCs w:val="20"/>
        </w:rPr>
        <w:t xml:space="preserve">A video overview of </w:t>
      </w:r>
      <w:proofErr w:type="spellStart"/>
      <w:r>
        <w:rPr>
          <w:sz w:val="20"/>
          <w:szCs w:val="20"/>
        </w:rPr>
        <w:t>eduGAIN</w:t>
      </w:r>
      <w:proofErr w:type="spellEnd"/>
      <w:r>
        <w:rPr>
          <w:sz w:val="20"/>
          <w:szCs w:val="20"/>
        </w:rPr>
        <w:t xml:space="preserve"> is also available: </w:t>
      </w:r>
      <w:hyperlink r:id="rId3">
        <w:r>
          <w:rPr>
            <w:color w:val="1155CC"/>
            <w:sz w:val="20"/>
            <w:szCs w:val="20"/>
            <w:highlight w:val="white"/>
            <w:u w:val="single"/>
          </w:rPr>
          <w:t>https://www.youtube.com/watch?v=x1YhuFPxMz8</w:t>
        </w:r>
      </w:hyperlink>
    </w:p>
  </w:footnote>
  <w:footnote w:id="6">
    <w:p w14:paraId="535256BC" w14:textId="77777777" w:rsidR="00E66BFC" w:rsidRDefault="00844085">
      <w:pPr>
        <w:pStyle w:val="Normal1"/>
        <w:spacing w:line="240" w:lineRule="auto"/>
      </w:pPr>
      <w:r>
        <w:rPr>
          <w:vertAlign w:val="superscript"/>
        </w:rPr>
        <w:footnoteRef/>
      </w:r>
      <w:r>
        <w:rPr>
          <w:color w:val="444444"/>
          <w:sz w:val="20"/>
          <w:szCs w:val="20"/>
          <w:highlight w:val="white"/>
        </w:rPr>
        <w:t xml:space="preserve"> </w:t>
      </w:r>
      <w:proofErr w:type="spellStart"/>
      <w:r>
        <w:rPr>
          <w:color w:val="444444"/>
          <w:sz w:val="20"/>
          <w:szCs w:val="20"/>
          <w:highlight w:val="white"/>
        </w:rPr>
        <w:t>eduGAIN</w:t>
      </w:r>
      <w:proofErr w:type="spellEnd"/>
      <w:r>
        <w:rPr>
          <w:color w:val="444444"/>
          <w:sz w:val="20"/>
          <w:szCs w:val="20"/>
          <w:highlight w:val="white"/>
        </w:rPr>
        <w:t xml:space="preserve"> member federation registration practices: see: </w:t>
      </w:r>
      <w:hyperlink r:id="rId4">
        <w:r>
          <w:rPr>
            <w:color w:val="1155CC"/>
            <w:sz w:val="20"/>
            <w:szCs w:val="20"/>
            <w:highlight w:val="white"/>
            <w:u w:val="single"/>
          </w:rPr>
          <w:t>https://technical.edugain.org/status.php</w:t>
        </w:r>
      </w:hyperlink>
    </w:p>
  </w:footnote>
  <w:footnote w:id="7">
    <w:p w14:paraId="18D64F3A" w14:textId="77777777" w:rsidR="00E66BFC" w:rsidRDefault="00844085">
      <w:pPr>
        <w:pStyle w:val="Normal1"/>
        <w:spacing w:line="240" w:lineRule="auto"/>
      </w:pPr>
      <w:r>
        <w:rPr>
          <w:vertAlign w:val="superscript"/>
        </w:rPr>
        <w:footnoteRef/>
      </w:r>
      <w:r>
        <w:rPr>
          <w:sz w:val="20"/>
          <w:szCs w:val="20"/>
        </w:rPr>
        <w:t xml:space="preserve"> The </w:t>
      </w:r>
      <w:proofErr w:type="spellStart"/>
      <w:r>
        <w:rPr>
          <w:sz w:val="20"/>
          <w:szCs w:val="20"/>
        </w:rPr>
        <w:t>eduGAIN</w:t>
      </w:r>
      <w:proofErr w:type="spellEnd"/>
      <w:r>
        <w:rPr>
          <w:sz w:val="20"/>
          <w:szCs w:val="20"/>
        </w:rPr>
        <w:t xml:space="preserve"> constitution is here: </w:t>
      </w:r>
      <w:hyperlink r:id="rId5">
        <w:r>
          <w:rPr>
            <w:color w:val="1155CC"/>
            <w:sz w:val="20"/>
            <w:szCs w:val="20"/>
            <w:u w:val="single"/>
          </w:rPr>
          <w:t>http://services.geant.net/edugain/Resources/Pages/Home.aspx</w:t>
        </w:r>
      </w:hyperlink>
    </w:p>
  </w:footnote>
  <w:footnote w:id="8">
    <w:p w14:paraId="70AA313E" w14:textId="77777777" w:rsidR="00E66BFC" w:rsidRDefault="00844085">
      <w:pPr>
        <w:pStyle w:val="Normal1"/>
      </w:pPr>
      <w:r>
        <w:rPr>
          <w:vertAlign w:val="superscript"/>
        </w:rPr>
        <w:footnoteRef/>
      </w:r>
      <w:r>
        <w:rPr>
          <w:sz w:val="20"/>
          <w:szCs w:val="20"/>
        </w:rPr>
        <w:t xml:space="preserve"> </w:t>
      </w:r>
      <w:proofErr w:type="spellStart"/>
      <w:r>
        <w:rPr>
          <w:sz w:val="20"/>
          <w:szCs w:val="20"/>
        </w:rPr>
        <w:t>InCommon’s</w:t>
      </w:r>
      <w:proofErr w:type="spellEnd"/>
      <w:r>
        <w:rPr>
          <w:sz w:val="20"/>
          <w:szCs w:val="20"/>
        </w:rPr>
        <w:t xml:space="preserve"> MRPS is at </w:t>
      </w:r>
      <w:hyperlink r:id="rId6">
        <w:r>
          <w:rPr>
            <w:color w:val="1155CC"/>
            <w:sz w:val="20"/>
            <w:szCs w:val="20"/>
            <w:u w:val="single"/>
          </w:rPr>
          <w:t>https://spaces.internet2.edu/x/nwvkAg</w:t>
        </w:r>
      </w:hyperlink>
      <w:r>
        <w:rPr>
          <w:sz w:val="20"/>
          <w:szCs w:val="20"/>
        </w:rPr>
        <w:t xml:space="preserve">. The list of </w:t>
      </w:r>
      <w:proofErr w:type="spellStart"/>
      <w:r>
        <w:rPr>
          <w:sz w:val="20"/>
          <w:szCs w:val="20"/>
        </w:rPr>
        <w:t>eduGAIN</w:t>
      </w:r>
      <w:proofErr w:type="spellEnd"/>
      <w:r>
        <w:rPr>
          <w:sz w:val="20"/>
          <w:szCs w:val="20"/>
        </w:rPr>
        <w:t xml:space="preserve"> federations and their MRPS are available at </w:t>
      </w:r>
      <w:hyperlink r:id="rId7">
        <w:r>
          <w:rPr>
            <w:color w:val="1155CC"/>
            <w:sz w:val="20"/>
            <w:szCs w:val="20"/>
            <w:u w:val="single"/>
          </w:rPr>
          <w:t>https://technical.edugain.org/status.php</w:t>
        </w:r>
      </w:hyperlink>
      <w:r>
        <w:rPr>
          <w:sz w:val="20"/>
          <w:szCs w:val="20"/>
        </w:rPr>
        <w:t>.</w:t>
      </w:r>
    </w:p>
  </w:footnote>
  <w:footnote w:id="9">
    <w:p w14:paraId="4C301B2C" w14:textId="77777777" w:rsidR="00E66BFC" w:rsidRDefault="00844085">
      <w:pPr>
        <w:pStyle w:val="Normal1"/>
        <w:spacing w:line="240" w:lineRule="auto"/>
      </w:pPr>
      <w:r>
        <w:rPr>
          <w:vertAlign w:val="superscript"/>
        </w:rPr>
        <w:footnoteRef/>
      </w:r>
      <w:r>
        <w:rPr>
          <w:sz w:val="20"/>
          <w:szCs w:val="20"/>
        </w:rPr>
        <w:t xml:space="preserve"> https://www.incommon.org/eduGAIN</w:t>
      </w:r>
    </w:p>
  </w:footnote>
  <w:footnote w:id="10">
    <w:p w14:paraId="6C8F465E" w14:textId="77777777" w:rsidR="00E66BFC" w:rsidRDefault="00844085">
      <w:pPr>
        <w:pStyle w:val="Normal1"/>
      </w:pPr>
      <w:r>
        <w:rPr>
          <w:vertAlign w:val="superscript"/>
        </w:rPr>
        <w:footnoteRef/>
      </w:r>
      <w:r>
        <w:rPr>
          <w:sz w:val="20"/>
          <w:szCs w:val="20"/>
        </w:rPr>
        <w:t xml:space="preserve">The </w:t>
      </w:r>
      <w:proofErr w:type="spellStart"/>
      <w:r>
        <w:rPr>
          <w:sz w:val="20"/>
          <w:szCs w:val="20"/>
        </w:rPr>
        <w:t>InCommon</w:t>
      </w:r>
      <w:proofErr w:type="spellEnd"/>
      <w:r>
        <w:rPr>
          <w:sz w:val="20"/>
          <w:szCs w:val="20"/>
        </w:rPr>
        <w:t xml:space="preserve"> dispute resolution process is described in section 8 of the FOPP (Federation Operating Policies and Practices), as referenced in section 5 of the </w:t>
      </w:r>
      <w:proofErr w:type="spellStart"/>
      <w:r>
        <w:rPr>
          <w:sz w:val="20"/>
          <w:szCs w:val="20"/>
        </w:rPr>
        <w:t>InCommon</w:t>
      </w:r>
      <w:proofErr w:type="spellEnd"/>
      <w:r>
        <w:rPr>
          <w:sz w:val="20"/>
          <w:szCs w:val="20"/>
        </w:rPr>
        <w:t xml:space="preserve"> Bylaws. Links to both documents, as well as the candidate drafts are at </w:t>
      </w:r>
      <w:hyperlink r:id="rId8">
        <w:r>
          <w:rPr>
            <w:color w:val="1155CC"/>
            <w:sz w:val="20"/>
            <w:szCs w:val="20"/>
            <w:u w:val="single"/>
          </w:rPr>
          <w:t>http://www.incommon.org/policies.html</w:t>
        </w:r>
      </w:hyperlink>
      <w:r>
        <w:rPr>
          <w:sz w:val="20"/>
          <w:szCs w:val="20"/>
        </w:rPr>
        <w:t>.</w:t>
      </w:r>
    </w:p>
  </w:footnote>
  <w:footnote w:id="11">
    <w:p w14:paraId="4F8B66C1" w14:textId="77777777" w:rsidR="00E66BFC" w:rsidRDefault="00844085">
      <w:pPr>
        <w:pStyle w:val="Normal1"/>
        <w:spacing w:line="240" w:lineRule="auto"/>
      </w:pPr>
      <w:r>
        <w:rPr>
          <w:vertAlign w:val="superscript"/>
        </w:rPr>
        <w:footnoteRef/>
      </w:r>
      <w:r>
        <w:rPr>
          <w:sz w:val="20"/>
          <w:szCs w:val="20"/>
        </w:rPr>
        <w:t xml:space="preserve"> https://www.incommon.org/federation/metadata.html</w:t>
      </w:r>
    </w:p>
  </w:footnote>
  <w:footnote w:id="12">
    <w:p w14:paraId="31F1D574" w14:textId="77777777" w:rsidR="00E66BFC" w:rsidRDefault="00844085">
      <w:pPr>
        <w:pStyle w:val="Normal1"/>
        <w:spacing w:line="240" w:lineRule="auto"/>
      </w:pPr>
      <w:r>
        <w:rPr>
          <w:vertAlign w:val="superscript"/>
        </w:rPr>
        <w:footnoteRef/>
      </w:r>
      <w:r>
        <w:rPr>
          <w:sz w:val="20"/>
          <w:szCs w:val="20"/>
        </w:rPr>
        <w:t xml:space="preserve"> To view the global services and identity providers that will be added to the </w:t>
      </w:r>
      <w:proofErr w:type="spellStart"/>
      <w:r>
        <w:rPr>
          <w:sz w:val="20"/>
          <w:szCs w:val="20"/>
        </w:rPr>
        <w:t>InCommon</w:t>
      </w:r>
      <w:proofErr w:type="spellEnd"/>
      <w:r>
        <w:rPr>
          <w:sz w:val="20"/>
          <w:szCs w:val="20"/>
        </w:rPr>
        <w:t xml:space="preserve"> metadata once </w:t>
      </w:r>
      <w:proofErr w:type="spellStart"/>
      <w:r>
        <w:rPr>
          <w:sz w:val="20"/>
          <w:szCs w:val="20"/>
        </w:rPr>
        <w:t>interfederation</w:t>
      </w:r>
      <w:proofErr w:type="spellEnd"/>
      <w:r>
        <w:rPr>
          <w:sz w:val="20"/>
          <w:szCs w:val="20"/>
        </w:rPr>
        <w:t xml:space="preserve"> is in production, see </w:t>
      </w:r>
      <w:hyperlink r:id="rId9">
        <w:r>
          <w:rPr>
            <w:color w:val="1155CC"/>
            <w:sz w:val="20"/>
            <w:szCs w:val="20"/>
            <w:u w:val="single"/>
          </w:rPr>
          <w:t>https://incommon.org/federation/info/all-entities-mdq-beta.html</w:t>
        </w:r>
      </w:hyperlink>
    </w:p>
  </w:footnote>
  <w:footnote w:id="13">
    <w:p w14:paraId="259686BA" w14:textId="77777777" w:rsidR="00E66BFC" w:rsidRDefault="00844085">
      <w:pPr>
        <w:pStyle w:val="Normal1"/>
        <w:spacing w:line="240" w:lineRule="auto"/>
      </w:pPr>
      <w:r>
        <w:rPr>
          <w:vertAlign w:val="superscript"/>
        </w:rPr>
        <w:footnoteRef/>
      </w:r>
      <w:r>
        <w:rPr>
          <w:sz w:val="20"/>
          <w:szCs w:val="20"/>
        </w:rPr>
        <w:t xml:space="preserve"> http://services.geant.net/edugain/Resources/Pages/Home.aspx</w:t>
      </w:r>
    </w:p>
  </w:footnote>
  <w:footnote w:id="14">
    <w:p w14:paraId="1ABB6145" w14:textId="77777777" w:rsidR="00E66BFC" w:rsidRDefault="00844085">
      <w:pPr>
        <w:pStyle w:val="Normal1"/>
        <w:spacing w:line="240" w:lineRule="auto"/>
      </w:pPr>
      <w:r>
        <w:rPr>
          <w:vertAlign w:val="superscript"/>
        </w:rPr>
        <w:footnoteRef/>
      </w:r>
      <w:r>
        <w:rPr>
          <w:sz w:val="20"/>
          <w:szCs w:val="20"/>
        </w:rPr>
        <w:t xml:space="preserve"> http://services.geant.net/edugain/Resources/Pages/Home.aspx</w:t>
      </w:r>
    </w:p>
  </w:footnote>
  <w:footnote w:id="15">
    <w:p w14:paraId="218F436C" w14:textId="77777777" w:rsidR="00E66BFC" w:rsidRDefault="00844085">
      <w:pPr>
        <w:pStyle w:val="Normal1"/>
        <w:spacing w:line="240" w:lineRule="auto"/>
      </w:pPr>
      <w:r>
        <w:rPr>
          <w:vertAlign w:val="superscript"/>
        </w:rPr>
        <w:footnoteRef/>
      </w:r>
      <w:r>
        <w:rPr>
          <w:sz w:val="20"/>
          <w:szCs w:val="20"/>
        </w:rPr>
        <w:t xml:space="preserve"> http://refeds.org/category/research-and-scholarship</w:t>
      </w:r>
    </w:p>
  </w:footnote>
  <w:footnote w:id="16">
    <w:p w14:paraId="101A5849" w14:textId="77777777" w:rsidR="00E66BFC" w:rsidRDefault="00844085">
      <w:pPr>
        <w:pStyle w:val="Normal1"/>
        <w:spacing w:line="240" w:lineRule="auto"/>
      </w:pPr>
      <w:r>
        <w:rPr>
          <w:vertAlign w:val="superscript"/>
        </w:rPr>
        <w:footnoteRef/>
      </w:r>
      <w:r>
        <w:rPr>
          <w:sz w:val="20"/>
          <w:szCs w:val="20"/>
        </w:rPr>
        <w:t xml:space="preserve"> An overview of the </w:t>
      </w:r>
      <w:proofErr w:type="spellStart"/>
      <w:r>
        <w:rPr>
          <w:sz w:val="20"/>
          <w:szCs w:val="20"/>
        </w:rPr>
        <w:t>InCommon</w:t>
      </w:r>
      <w:proofErr w:type="spellEnd"/>
      <w:r>
        <w:rPr>
          <w:sz w:val="20"/>
          <w:szCs w:val="20"/>
        </w:rPr>
        <w:t xml:space="preserve"> R&amp;S category is at </w:t>
      </w:r>
      <w:hyperlink r:id="rId10">
        <w:r>
          <w:rPr>
            <w:color w:val="1155CC"/>
            <w:sz w:val="20"/>
            <w:szCs w:val="20"/>
            <w:u w:val="single"/>
          </w:rPr>
          <w:t>https://spaces.internet2.edu/x/TYDwAg</w:t>
        </w:r>
      </w:hyperlink>
      <w:r>
        <w:rPr>
          <w:sz w:val="20"/>
          <w:szCs w:val="20"/>
        </w:rPr>
        <w:t xml:space="preserve">. For more detail, see </w:t>
      </w:r>
      <w:hyperlink r:id="rId11">
        <w:r>
          <w:rPr>
            <w:color w:val="1155CC"/>
            <w:sz w:val="20"/>
            <w:szCs w:val="20"/>
            <w:u w:val="single"/>
          </w:rPr>
          <w:t>https://spaces.internet2.edu/x/QIVHBQ</w:t>
        </w:r>
      </w:hyperlink>
    </w:p>
  </w:footnote>
  <w:footnote w:id="17">
    <w:p w14:paraId="5DB99806" w14:textId="77777777" w:rsidR="00E66BFC" w:rsidRDefault="00844085">
      <w:pPr>
        <w:pStyle w:val="Normal1"/>
        <w:spacing w:line="240" w:lineRule="auto"/>
      </w:pPr>
      <w:r>
        <w:rPr>
          <w:vertAlign w:val="superscript"/>
        </w:rPr>
        <w:footnoteRef/>
      </w:r>
      <w:r>
        <w:rPr>
          <w:sz w:val="20"/>
          <w:szCs w:val="20"/>
        </w:rPr>
        <w:t xml:space="preserve"> To find out which </w:t>
      </w:r>
      <w:proofErr w:type="spellStart"/>
      <w:r>
        <w:rPr>
          <w:sz w:val="20"/>
          <w:szCs w:val="20"/>
        </w:rPr>
        <w:t>InCommon</w:t>
      </w:r>
      <w:proofErr w:type="spellEnd"/>
      <w:r>
        <w:rPr>
          <w:sz w:val="20"/>
          <w:szCs w:val="20"/>
        </w:rPr>
        <w:t xml:space="preserve"> Participants support global R&amp;S, see </w:t>
      </w:r>
      <w:hyperlink r:id="rId12">
        <w:r>
          <w:rPr>
            <w:color w:val="1155CC"/>
            <w:sz w:val="20"/>
            <w:szCs w:val="20"/>
            <w:u w:val="single"/>
          </w:rPr>
          <w:t>https://incommon.org/federation/info/all-entity-categories.htm</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24A2B" w14:textId="6B0626C1" w:rsidR="005A1879" w:rsidRDefault="005A1879" w:rsidP="005A1879">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14A"/>
    <w:multiLevelType w:val="multilevel"/>
    <w:tmpl w:val="D91206BC"/>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FF4C4D"/>
    <w:multiLevelType w:val="multilevel"/>
    <w:tmpl w:val="F75403DA"/>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8EE1F10"/>
    <w:multiLevelType w:val="multilevel"/>
    <w:tmpl w:val="A4280DA4"/>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3441740"/>
    <w:multiLevelType w:val="multilevel"/>
    <w:tmpl w:val="5E9CF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F5441E4"/>
    <w:multiLevelType w:val="multilevel"/>
    <w:tmpl w:val="0A9A22F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6865B2"/>
    <w:multiLevelType w:val="multilevel"/>
    <w:tmpl w:val="6E0C399E"/>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3442079"/>
    <w:multiLevelType w:val="multilevel"/>
    <w:tmpl w:val="E440138C"/>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C64236F"/>
    <w:multiLevelType w:val="multilevel"/>
    <w:tmpl w:val="20FCB2FA"/>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33836BC"/>
    <w:multiLevelType w:val="multilevel"/>
    <w:tmpl w:val="03286F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3A21AC0"/>
    <w:multiLevelType w:val="multilevel"/>
    <w:tmpl w:val="B7A48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5"/>
  </w:num>
  <w:num w:numId="4">
    <w:abstractNumId w:val="7"/>
  </w:num>
  <w:num w:numId="5">
    <w:abstractNumId w:val="8"/>
  </w:num>
  <w:num w:numId="6">
    <w:abstractNumId w:val="4"/>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E66BFC"/>
    <w:rsid w:val="0031328D"/>
    <w:rsid w:val="004E77B9"/>
    <w:rsid w:val="00541EE9"/>
    <w:rsid w:val="005A1879"/>
    <w:rsid w:val="00701F49"/>
    <w:rsid w:val="00844085"/>
    <w:rsid w:val="008B093D"/>
    <w:rsid w:val="0094739D"/>
    <w:rsid w:val="009D7D27"/>
    <w:rsid w:val="00A026A6"/>
    <w:rsid w:val="00A02ACD"/>
    <w:rsid w:val="00E66BFC"/>
    <w:rsid w:val="00F85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0C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after="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after="200"/>
      <w:contextualSpacing/>
      <w:outlineLvl w:val="1"/>
    </w:pPr>
    <w:rPr>
      <w:rFonts w:ascii="Trebuchet MS" w:eastAsia="Trebuchet MS" w:hAnsi="Trebuchet MS" w:cs="Trebuchet MS"/>
      <w:b/>
      <w:sz w:val="28"/>
      <w:szCs w:val="28"/>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1328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28D"/>
    <w:rPr>
      <w:rFonts w:ascii="Lucida Grande" w:hAnsi="Lucida Grande"/>
      <w:sz w:val="18"/>
      <w:szCs w:val="18"/>
    </w:rPr>
  </w:style>
  <w:style w:type="paragraph" w:styleId="Header">
    <w:name w:val="header"/>
    <w:basedOn w:val="Normal"/>
    <w:link w:val="HeaderChar"/>
    <w:uiPriority w:val="99"/>
    <w:unhideWhenUsed/>
    <w:rsid w:val="00F854F4"/>
    <w:pPr>
      <w:tabs>
        <w:tab w:val="center" w:pos="4320"/>
        <w:tab w:val="right" w:pos="8640"/>
      </w:tabs>
      <w:spacing w:line="240" w:lineRule="auto"/>
    </w:pPr>
  </w:style>
  <w:style w:type="character" w:customStyle="1" w:styleId="HeaderChar">
    <w:name w:val="Header Char"/>
    <w:basedOn w:val="DefaultParagraphFont"/>
    <w:link w:val="Header"/>
    <w:uiPriority w:val="99"/>
    <w:rsid w:val="00F854F4"/>
  </w:style>
  <w:style w:type="paragraph" w:styleId="Footer">
    <w:name w:val="footer"/>
    <w:basedOn w:val="Normal"/>
    <w:link w:val="FooterChar"/>
    <w:uiPriority w:val="99"/>
    <w:unhideWhenUsed/>
    <w:rsid w:val="00F854F4"/>
    <w:pPr>
      <w:tabs>
        <w:tab w:val="center" w:pos="4320"/>
        <w:tab w:val="right" w:pos="8640"/>
      </w:tabs>
      <w:spacing w:line="240" w:lineRule="auto"/>
    </w:pPr>
  </w:style>
  <w:style w:type="character" w:customStyle="1" w:styleId="FooterChar">
    <w:name w:val="Footer Char"/>
    <w:basedOn w:val="DefaultParagraphFont"/>
    <w:link w:val="Footer"/>
    <w:uiPriority w:val="99"/>
    <w:rsid w:val="00F85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after="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after="200"/>
      <w:contextualSpacing/>
      <w:outlineLvl w:val="1"/>
    </w:pPr>
    <w:rPr>
      <w:rFonts w:ascii="Trebuchet MS" w:eastAsia="Trebuchet MS" w:hAnsi="Trebuchet MS" w:cs="Trebuchet MS"/>
      <w:b/>
      <w:sz w:val="28"/>
      <w:szCs w:val="28"/>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31328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1328D"/>
    <w:rPr>
      <w:rFonts w:ascii="Lucida Grande" w:hAnsi="Lucida Grande"/>
      <w:sz w:val="18"/>
      <w:szCs w:val="18"/>
    </w:rPr>
  </w:style>
  <w:style w:type="paragraph" w:styleId="Header">
    <w:name w:val="header"/>
    <w:basedOn w:val="Normal"/>
    <w:link w:val="HeaderChar"/>
    <w:uiPriority w:val="99"/>
    <w:unhideWhenUsed/>
    <w:rsid w:val="00F854F4"/>
    <w:pPr>
      <w:tabs>
        <w:tab w:val="center" w:pos="4320"/>
        <w:tab w:val="right" w:pos="8640"/>
      </w:tabs>
      <w:spacing w:line="240" w:lineRule="auto"/>
    </w:pPr>
  </w:style>
  <w:style w:type="character" w:customStyle="1" w:styleId="HeaderChar">
    <w:name w:val="Header Char"/>
    <w:basedOn w:val="DefaultParagraphFont"/>
    <w:link w:val="Header"/>
    <w:uiPriority w:val="99"/>
    <w:rsid w:val="00F854F4"/>
  </w:style>
  <w:style w:type="paragraph" w:styleId="Footer">
    <w:name w:val="footer"/>
    <w:basedOn w:val="Normal"/>
    <w:link w:val="FooterChar"/>
    <w:uiPriority w:val="99"/>
    <w:unhideWhenUsed/>
    <w:rsid w:val="00F854F4"/>
    <w:pPr>
      <w:tabs>
        <w:tab w:val="center" w:pos="4320"/>
        <w:tab w:val="right" w:pos="8640"/>
      </w:tabs>
      <w:spacing w:line="240" w:lineRule="auto"/>
    </w:pPr>
  </w:style>
  <w:style w:type="character" w:customStyle="1" w:styleId="FooterChar">
    <w:name w:val="Footer Char"/>
    <w:basedOn w:val="DefaultParagraphFont"/>
    <w:link w:val="Footer"/>
    <w:uiPriority w:val="99"/>
    <w:rsid w:val="00F8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s://spaces.internet2.edu/x/QIVHBQ" TargetMode="External"/><Relationship Id="rId12" Type="http://schemas.openxmlformats.org/officeDocument/2006/relationships/hyperlink" Target="https://incommon.org/federation/info/all-entity-categories.html" TargetMode="External"/><Relationship Id="rId1" Type="http://schemas.openxmlformats.org/officeDocument/2006/relationships/hyperlink" Target="https://spaces.internet2.edu/display/incinterfed/Interfederation+TAC+Subgroup" TargetMode="External"/><Relationship Id="rId2" Type="http://schemas.openxmlformats.org/officeDocument/2006/relationships/hyperlink" Target="https://spaces.internet2.edu/display/incinterfed/Final+Report+to+TAC" TargetMode="External"/><Relationship Id="rId3" Type="http://schemas.openxmlformats.org/officeDocument/2006/relationships/hyperlink" Target="https://www.youtube.com/watch?v=x1YhuFPxMz8" TargetMode="External"/><Relationship Id="rId4" Type="http://schemas.openxmlformats.org/officeDocument/2006/relationships/hyperlink" Target="https://technical.edugain.org/status.php" TargetMode="External"/><Relationship Id="rId5" Type="http://schemas.openxmlformats.org/officeDocument/2006/relationships/hyperlink" Target="http://www.google.com/url?q=http%3A%2F%2Fservices.geant.net%2Fedugain%2FResources%2FPages%2FHome.aspx&amp;sa=D&amp;sntz=1&amp;usg=AFQjCNHdMGMqtHFgeoSnIIcNBwWPMUegGw" TargetMode="External"/><Relationship Id="rId6" Type="http://schemas.openxmlformats.org/officeDocument/2006/relationships/hyperlink" Target="https://spaces.internet2.edu/x/nwvkAg" TargetMode="External"/><Relationship Id="rId7" Type="http://schemas.openxmlformats.org/officeDocument/2006/relationships/hyperlink" Target="https://technical.edugain.org/status.php" TargetMode="External"/><Relationship Id="rId8" Type="http://schemas.openxmlformats.org/officeDocument/2006/relationships/hyperlink" Target="http://www.incommon.org/policies.html" TargetMode="External"/><Relationship Id="rId9" Type="http://schemas.openxmlformats.org/officeDocument/2006/relationships/hyperlink" Target="https://incommon.org/federation/info/all-entities-mdq-beta.html" TargetMode="External"/><Relationship Id="rId10" Type="http://schemas.openxmlformats.org/officeDocument/2006/relationships/hyperlink" Target="https://spaces.internet2.edu/x/TYDw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2525</Words>
  <Characters>14394</Characters>
  <Application>Microsoft Macintosh Word</Application>
  <DocSecurity>0</DocSecurity>
  <Lines>119</Lines>
  <Paragraphs>33</Paragraphs>
  <ScaleCrop>false</ScaleCrop>
  <Company>Internet2</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Woodbeck</cp:lastModifiedBy>
  <cp:revision>11</cp:revision>
  <cp:lastPrinted>2015-11-05T15:25:00Z</cp:lastPrinted>
  <dcterms:created xsi:type="dcterms:W3CDTF">2015-07-27T20:14:00Z</dcterms:created>
  <dcterms:modified xsi:type="dcterms:W3CDTF">2015-12-07T20:44:00Z</dcterms:modified>
</cp:coreProperties>
</file>