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3800" w14:textId="77777777" w:rsidR="000E7BC8" w:rsidRDefault="00BC682C" w:rsidP="00BC682C">
      <w:pPr>
        <w:ind w:left="-3060"/>
      </w:pPr>
      <w:r>
        <w:rPr>
          <w:noProof/>
          <w:lang w:eastAsia="en-US"/>
        </w:rPr>
        <w:drawing>
          <wp:inline distT="0" distB="0" distL="0" distR="0" wp14:anchorId="5C00844D" wp14:editId="5C8B3D1A">
            <wp:extent cx="7846058" cy="2059940"/>
            <wp:effectExtent l="0" t="0" r="3175" b="0"/>
            <wp:docPr id="2" name="Picture 2" descr="/Users/woodbeck/Desktop/graphics for t:i/T-I-goog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oodbeck/Desktop/graphics for t:i/T-I-google-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6058" cy="2059940"/>
                    </a:xfrm>
                    <a:prstGeom prst="rect">
                      <a:avLst/>
                    </a:prstGeom>
                    <a:noFill/>
                    <a:ln>
                      <a:noFill/>
                    </a:ln>
                  </pic:spPr>
                </pic:pic>
              </a:graphicData>
            </a:graphic>
          </wp:inline>
        </w:drawing>
      </w:r>
    </w:p>
    <w:p w14:paraId="5735BF0E" w14:textId="77777777" w:rsidR="000E7BC8" w:rsidRDefault="000E7BC8" w:rsidP="00BC682C">
      <w:pPr>
        <w:ind w:left="-3060"/>
      </w:pPr>
    </w:p>
    <w:p w14:paraId="44DCBCFF" w14:textId="77777777" w:rsidR="000E7BC8" w:rsidRDefault="000E7BC8" w:rsidP="00855406">
      <w:pPr>
        <w:sectPr w:rsidR="000E7BC8" w:rsidSect="00E66EB3">
          <w:headerReference w:type="default" r:id="rId11"/>
          <w:footerReference w:type="even" r:id="rId12"/>
          <w:footerReference w:type="default" r:id="rId13"/>
          <w:footerReference w:type="first" r:id="rId14"/>
          <w:pgSz w:w="12240" w:h="15840" w:code="1"/>
          <w:pgMar w:top="0" w:right="720" w:bottom="720" w:left="3096" w:header="1080" w:footer="1080" w:gutter="0"/>
          <w:pgNumType w:start="1"/>
          <w:cols w:space="708"/>
          <w:titlePg/>
          <w:docGrid w:linePitch="360"/>
        </w:sectPr>
      </w:pPr>
    </w:p>
    <w:p w14:paraId="37BF9778" w14:textId="1A8ADCDD" w:rsidR="000E7BC8" w:rsidRDefault="005142D3" w:rsidP="00855406">
      <w:pPr>
        <w:pStyle w:val="Title"/>
        <w:ind w:left="-2160"/>
      </w:pPr>
      <w:r>
        <w:t>Baseline Expectations:</w:t>
      </w:r>
      <w:r>
        <w:br/>
        <w:t>Community Dispute Resolution Process</w:t>
      </w:r>
    </w:p>
    <w:p w14:paraId="67D1FB46" w14:textId="77777777" w:rsidR="000E7BC8" w:rsidRDefault="000E7BC8" w:rsidP="000E7BC8">
      <w:pPr>
        <w:pStyle w:val="Title"/>
      </w:pPr>
    </w:p>
    <w:p w14:paraId="4899F611" w14:textId="199BCACE" w:rsidR="00E76125" w:rsidRPr="00EB40B9" w:rsidRDefault="001169F6" w:rsidP="00EB40B9">
      <w:pPr>
        <w:pStyle w:val="Subtitle"/>
      </w:pPr>
      <w:r>
        <w:t>September 14, 2017</w:t>
      </w:r>
    </w:p>
    <w:p w14:paraId="5581B507" w14:textId="0FB95FC0" w:rsidR="00E76125" w:rsidRDefault="00EB40B9" w:rsidP="00E76125">
      <w:pPr>
        <w:pStyle w:val="NormalWeb"/>
        <w:shd w:val="clear" w:color="auto" w:fill="FFFFFF"/>
        <w:spacing w:before="160" w:beforeAutospacing="0" w:after="0" w:afterAutospacing="0"/>
        <w:rPr>
          <w:rFonts w:ascii="Arial" w:hAnsi="Arial" w:cs="Arial"/>
          <w:b/>
          <w:bCs/>
          <w:color w:val="333333"/>
          <w:sz w:val="20"/>
          <w:szCs w:val="20"/>
        </w:rPr>
      </w:pPr>
      <w:r>
        <w:rPr>
          <w:rFonts w:ascii="Arial" w:hAnsi="Arial" w:cs="Arial"/>
          <w:b/>
          <w:bCs/>
          <w:noProof/>
          <w:color w:val="333333"/>
          <w:sz w:val="20"/>
          <w:szCs w:val="20"/>
        </w:rPr>
        <w:drawing>
          <wp:inline distT="0" distB="0" distL="0" distR="0" wp14:anchorId="3F7312D4" wp14:editId="3CA61287">
            <wp:extent cx="1020148" cy="75273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net2_logo_colorpos_eps.eps"/>
                    <pic:cNvPicPr/>
                  </pic:nvPicPr>
                  <pic:blipFill>
                    <a:blip r:embed="rId15">
                      <a:extLst>
                        <a:ext uri="{28A0092B-C50C-407E-A947-70E740481C1C}">
                          <a14:useLocalDpi xmlns:a14="http://schemas.microsoft.com/office/drawing/2010/main" val="0"/>
                        </a:ext>
                      </a:extLst>
                    </a:blip>
                    <a:stretch>
                      <a:fillRect/>
                    </a:stretch>
                  </pic:blipFill>
                  <pic:spPr>
                    <a:xfrm>
                      <a:off x="0" y="0"/>
                      <a:ext cx="1037654" cy="765648"/>
                    </a:xfrm>
                    <a:prstGeom prst="rect">
                      <a:avLst/>
                    </a:prstGeom>
                  </pic:spPr>
                </pic:pic>
              </a:graphicData>
            </a:graphic>
          </wp:inline>
        </w:drawing>
      </w:r>
      <w:r>
        <w:rPr>
          <w:noProof/>
        </w:rPr>
        <w:drawing>
          <wp:inline distT="0" distB="0" distL="0" distR="0" wp14:anchorId="559AFB8D" wp14:editId="35B12FE8">
            <wp:extent cx="1649305" cy="491355"/>
            <wp:effectExtent l="0" t="0" r="1905" b="0"/>
            <wp:docPr id="4" name="Picture 4" descr="../Communications/logos/incommon+re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logos/incommon+reg+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406" cy="506877"/>
                    </a:xfrm>
                    <a:prstGeom prst="rect">
                      <a:avLst/>
                    </a:prstGeom>
                    <a:noFill/>
                    <a:ln>
                      <a:noFill/>
                    </a:ln>
                  </pic:spPr>
                </pic:pic>
              </a:graphicData>
            </a:graphic>
          </wp:inline>
        </w:drawing>
      </w:r>
    </w:p>
    <w:p w14:paraId="6C0AB8FD" w14:textId="19CEA1B8" w:rsidR="00E76125" w:rsidRDefault="00E76125" w:rsidP="00E76125">
      <w:pPr>
        <w:pStyle w:val="NormalWeb"/>
        <w:shd w:val="clear" w:color="auto" w:fill="FFFFFF"/>
        <w:spacing w:before="160" w:beforeAutospacing="0" w:after="0" w:afterAutospacing="0"/>
        <w:rPr>
          <w:rFonts w:ascii="Arial" w:hAnsi="Arial" w:cs="Arial"/>
          <w:b/>
          <w:bCs/>
          <w:color w:val="333333"/>
          <w:sz w:val="20"/>
          <w:szCs w:val="20"/>
        </w:rPr>
      </w:pPr>
    </w:p>
    <w:p w14:paraId="271ECCD6" w14:textId="63A50209" w:rsidR="001169F6" w:rsidRDefault="001169F6" w:rsidP="00E76125">
      <w:pPr>
        <w:pStyle w:val="NormalWeb"/>
        <w:shd w:val="clear" w:color="auto" w:fill="FFFFFF"/>
        <w:spacing w:before="160" w:beforeAutospacing="0" w:after="0" w:afterAutospacing="0"/>
        <w:rPr>
          <w:rFonts w:ascii="Arial" w:hAnsi="Arial" w:cs="Arial"/>
          <w:b/>
          <w:bCs/>
          <w:color w:val="333333"/>
          <w:sz w:val="20"/>
          <w:szCs w:val="20"/>
        </w:rPr>
      </w:pPr>
    </w:p>
    <w:p w14:paraId="4C4BFA5F" w14:textId="19D0E5F5" w:rsidR="001169F6" w:rsidRDefault="001169F6" w:rsidP="00E76125">
      <w:pPr>
        <w:pStyle w:val="NormalWeb"/>
        <w:shd w:val="clear" w:color="auto" w:fill="FFFFFF"/>
        <w:spacing w:before="160" w:beforeAutospacing="0" w:after="0" w:afterAutospacing="0"/>
        <w:rPr>
          <w:rFonts w:ascii="Arial" w:hAnsi="Arial" w:cs="Arial"/>
          <w:b/>
          <w:bCs/>
          <w:color w:val="333333"/>
          <w:sz w:val="20"/>
          <w:szCs w:val="20"/>
        </w:rPr>
      </w:pPr>
    </w:p>
    <w:p w14:paraId="7E129A81" w14:textId="77777777" w:rsidR="001169F6" w:rsidRDefault="001169F6" w:rsidP="00E76125">
      <w:pPr>
        <w:pStyle w:val="NormalWeb"/>
        <w:shd w:val="clear" w:color="auto" w:fill="FFFFFF"/>
        <w:spacing w:before="160" w:beforeAutospacing="0" w:after="0" w:afterAutospacing="0"/>
        <w:rPr>
          <w:rFonts w:ascii="Arial" w:hAnsi="Arial" w:cs="Arial"/>
          <w:b/>
          <w:bCs/>
          <w:color w:val="333333"/>
          <w:sz w:val="20"/>
          <w:szCs w:val="20"/>
        </w:rPr>
      </w:pPr>
    </w:p>
    <w:p w14:paraId="24D3AFFF" w14:textId="1BA6EE25" w:rsidR="001169F6" w:rsidRDefault="001169F6" w:rsidP="001169F6">
      <w:pPr>
        <w:spacing w:after="0" w:line="240" w:lineRule="auto"/>
        <w:rPr>
          <w:rFonts w:ascii="Arial" w:eastAsia="Times New Roman" w:hAnsi="Arial" w:cs="Arial"/>
          <w:color w:val="000000"/>
          <w:sz w:val="22"/>
          <w:szCs w:val="22"/>
          <w:lang w:eastAsia="en-US"/>
        </w:rPr>
      </w:pPr>
      <w:r w:rsidRPr="001169F6">
        <w:rPr>
          <w:rFonts w:ascii="Arial" w:eastAsia="Times New Roman" w:hAnsi="Arial" w:cs="Arial"/>
          <w:b/>
          <w:bCs/>
          <w:color w:val="000000"/>
          <w:sz w:val="22"/>
          <w:szCs w:val="22"/>
          <w:lang w:eastAsia="en-US"/>
        </w:rPr>
        <w:t>Repository ID</w:t>
      </w:r>
      <w:r w:rsidRPr="001169F6">
        <w:rPr>
          <w:rFonts w:ascii="Arial" w:eastAsia="Times New Roman" w:hAnsi="Arial" w:cs="Arial"/>
          <w:color w:val="000000"/>
          <w:sz w:val="22"/>
          <w:szCs w:val="22"/>
          <w:lang w:eastAsia="en-US"/>
        </w:rPr>
        <w:t>: TI.35.1</w:t>
      </w:r>
    </w:p>
    <w:p w14:paraId="5FF7D4F8" w14:textId="77777777" w:rsidR="00D10587" w:rsidRDefault="00D10587" w:rsidP="00D10587">
      <w:pPr>
        <w:spacing w:after="0" w:line="240" w:lineRule="auto"/>
        <w:rPr>
          <w:rFonts w:ascii="Arial" w:eastAsia="Times New Roman" w:hAnsi="Arial" w:cs="Arial"/>
          <w:color w:val="333333"/>
          <w:szCs w:val="24"/>
          <w:lang w:eastAsia="en-US"/>
        </w:rPr>
      </w:pPr>
      <w:r w:rsidRPr="00D10587">
        <w:rPr>
          <w:rFonts w:ascii="Arial" w:eastAsia="Times New Roman" w:hAnsi="Arial" w:cs="Arial"/>
          <w:b/>
          <w:color w:val="000000"/>
          <w:sz w:val="22"/>
          <w:szCs w:val="22"/>
          <w:lang w:eastAsia="en-US"/>
        </w:rPr>
        <w:t>DOI:</w:t>
      </w:r>
      <w:r>
        <w:rPr>
          <w:rFonts w:ascii="Arial" w:eastAsia="Times New Roman" w:hAnsi="Arial" w:cs="Arial"/>
          <w:color w:val="000000"/>
          <w:sz w:val="22"/>
          <w:szCs w:val="22"/>
          <w:lang w:eastAsia="en-US"/>
        </w:rPr>
        <w:t xml:space="preserve"> </w:t>
      </w:r>
      <w:r w:rsidRPr="00D10587">
        <w:rPr>
          <w:rFonts w:ascii="Arial" w:eastAsia="Times New Roman" w:hAnsi="Arial" w:cs="Arial"/>
          <w:color w:val="333333"/>
          <w:szCs w:val="24"/>
          <w:lang w:eastAsia="en-US"/>
        </w:rPr>
        <w:t>10.26869/TI.35.1</w:t>
      </w:r>
    </w:p>
    <w:p w14:paraId="1FE4E9B8" w14:textId="742C3B9C" w:rsidR="00D10587" w:rsidRPr="00D10587" w:rsidRDefault="00D10587" w:rsidP="00D10587">
      <w:pPr>
        <w:spacing w:after="0" w:line="240" w:lineRule="auto"/>
        <w:rPr>
          <w:rFonts w:ascii="Arial" w:eastAsia="Times New Roman" w:hAnsi="Arial" w:cs="Arial"/>
          <w:color w:val="333333"/>
          <w:sz w:val="22"/>
          <w:szCs w:val="22"/>
          <w:lang w:eastAsia="en-US"/>
        </w:rPr>
      </w:pPr>
      <w:r w:rsidRPr="00D10587">
        <w:rPr>
          <w:b/>
          <w:bCs/>
          <w:sz w:val="22"/>
          <w:szCs w:val="22"/>
        </w:rPr>
        <w:t>Persistent URL</w:t>
      </w:r>
      <w:r w:rsidRPr="00D10587">
        <w:rPr>
          <w:sz w:val="22"/>
          <w:szCs w:val="22"/>
        </w:rPr>
        <w:t>:  </w:t>
      </w:r>
      <w:hyperlink r:id="rId17" w:history="1">
        <w:r w:rsidRPr="00D10587">
          <w:rPr>
            <w:rStyle w:val="Hyperlink"/>
            <w:rFonts w:ascii="Arial" w:hAnsi="Arial" w:cs="Arial"/>
            <w:sz w:val="22"/>
            <w:szCs w:val="22"/>
          </w:rPr>
          <w:t>http://doi.org/10.26869/TI.35.1</w:t>
        </w:r>
      </w:hyperlink>
    </w:p>
    <w:p w14:paraId="681399E2" w14:textId="77777777" w:rsidR="001169F6" w:rsidRPr="001169F6" w:rsidRDefault="001169F6" w:rsidP="001169F6">
      <w:pPr>
        <w:spacing w:after="0" w:line="240" w:lineRule="auto"/>
        <w:rPr>
          <w:rFonts w:ascii="Times New Roman" w:eastAsia="Times New Roman" w:hAnsi="Times New Roman" w:cs="Times New Roman"/>
          <w:color w:val="auto"/>
          <w:szCs w:val="24"/>
          <w:lang w:eastAsia="en-US"/>
        </w:rPr>
      </w:pPr>
      <w:r w:rsidRPr="001169F6">
        <w:rPr>
          <w:rFonts w:ascii="Arial" w:eastAsia="Times New Roman" w:hAnsi="Arial" w:cs="Arial"/>
          <w:b/>
          <w:bCs/>
          <w:color w:val="000000"/>
          <w:sz w:val="22"/>
          <w:szCs w:val="22"/>
          <w:lang w:eastAsia="en-US"/>
        </w:rPr>
        <w:t>Authors</w:t>
      </w:r>
      <w:r w:rsidRPr="001169F6">
        <w:rPr>
          <w:rFonts w:ascii="Arial" w:eastAsia="Times New Roman" w:hAnsi="Arial" w:cs="Arial"/>
          <w:color w:val="000000"/>
          <w:sz w:val="22"/>
          <w:szCs w:val="22"/>
          <w:lang w:eastAsia="en-US"/>
        </w:rPr>
        <w:t xml:space="preserve">: Tom Barton and members of the </w:t>
      </w:r>
      <w:proofErr w:type="spellStart"/>
      <w:r w:rsidRPr="001169F6">
        <w:rPr>
          <w:rFonts w:ascii="Arial" w:eastAsia="Times New Roman" w:hAnsi="Arial" w:cs="Arial"/>
          <w:color w:val="000000"/>
          <w:sz w:val="22"/>
          <w:szCs w:val="22"/>
          <w:lang w:eastAsia="en-US"/>
        </w:rPr>
        <w:t>InCommon</w:t>
      </w:r>
      <w:proofErr w:type="spellEnd"/>
      <w:r w:rsidRPr="001169F6">
        <w:rPr>
          <w:rFonts w:ascii="Arial" w:eastAsia="Times New Roman" w:hAnsi="Arial" w:cs="Arial"/>
          <w:color w:val="000000"/>
          <w:sz w:val="22"/>
          <w:szCs w:val="22"/>
          <w:lang w:eastAsia="en-US"/>
        </w:rPr>
        <w:t xml:space="preserve"> CTAB</w:t>
      </w:r>
    </w:p>
    <w:p w14:paraId="5303618C" w14:textId="77777777" w:rsidR="001169F6" w:rsidRPr="001169F6" w:rsidRDefault="001169F6" w:rsidP="001169F6">
      <w:pPr>
        <w:spacing w:after="0" w:line="240" w:lineRule="auto"/>
        <w:rPr>
          <w:rFonts w:ascii="Times New Roman" w:eastAsia="Times New Roman" w:hAnsi="Times New Roman" w:cs="Times New Roman"/>
          <w:color w:val="auto"/>
          <w:szCs w:val="24"/>
          <w:lang w:eastAsia="en-US"/>
        </w:rPr>
      </w:pPr>
      <w:r w:rsidRPr="001169F6">
        <w:rPr>
          <w:rFonts w:ascii="Arial" w:eastAsia="Times New Roman" w:hAnsi="Arial" w:cs="Arial"/>
          <w:b/>
          <w:bCs/>
          <w:color w:val="000000"/>
          <w:sz w:val="22"/>
          <w:szCs w:val="22"/>
          <w:lang w:eastAsia="en-US"/>
        </w:rPr>
        <w:t>Sponsor</w:t>
      </w:r>
      <w:r w:rsidRPr="001169F6">
        <w:rPr>
          <w:rFonts w:ascii="Arial" w:eastAsia="Times New Roman" w:hAnsi="Arial" w:cs="Arial"/>
          <w:color w:val="000000"/>
          <w:sz w:val="22"/>
          <w:szCs w:val="22"/>
          <w:lang w:eastAsia="en-US"/>
        </w:rPr>
        <w:t xml:space="preserve">: </w:t>
      </w:r>
      <w:proofErr w:type="spellStart"/>
      <w:r w:rsidRPr="001169F6">
        <w:rPr>
          <w:rFonts w:ascii="Arial" w:eastAsia="Times New Roman" w:hAnsi="Arial" w:cs="Arial"/>
          <w:color w:val="000000"/>
          <w:sz w:val="22"/>
          <w:szCs w:val="22"/>
          <w:lang w:eastAsia="en-US"/>
        </w:rPr>
        <w:t>InCommon</w:t>
      </w:r>
      <w:proofErr w:type="spellEnd"/>
      <w:r w:rsidRPr="001169F6">
        <w:rPr>
          <w:rFonts w:ascii="Arial" w:eastAsia="Times New Roman" w:hAnsi="Arial" w:cs="Arial"/>
          <w:color w:val="000000"/>
          <w:sz w:val="22"/>
          <w:szCs w:val="22"/>
          <w:lang w:eastAsia="en-US"/>
        </w:rPr>
        <w:t xml:space="preserve"> Community Trust and Assurance Board (CTAB)</w:t>
      </w:r>
    </w:p>
    <w:p w14:paraId="43C207A8" w14:textId="77777777" w:rsidR="001169F6" w:rsidRPr="001169F6" w:rsidRDefault="001169F6" w:rsidP="001169F6">
      <w:pPr>
        <w:spacing w:after="0" w:line="240" w:lineRule="auto"/>
        <w:rPr>
          <w:rFonts w:ascii="Times New Roman" w:eastAsia="Times New Roman" w:hAnsi="Times New Roman" w:cs="Times New Roman"/>
          <w:color w:val="auto"/>
          <w:szCs w:val="24"/>
          <w:lang w:eastAsia="en-US"/>
        </w:rPr>
      </w:pPr>
      <w:r w:rsidRPr="001169F6">
        <w:rPr>
          <w:rFonts w:ascii="Arial" w:eastAsia="Times New Roman" w:hAnsi="Arial" w:cs="Arial"/>
          <w:b/>
          <w:bCs/>
          <w:color w:val="000000"/>
          <w:sz w:val="22"/>
          <w:szCs w:val="22"/>
          <w:lang w:eastAsia="en-US"/>
        </w:rPr>
        <w:t>Superseded documents</w:t>
      </w:r>
      <w:r w:rsidRPr="001169F6">
        <w:rPr>
          <w:rFonts w:ascii="Arial" w:eastAsia="Times New Roman" w:hAnsi="Arial" w:cs="Arial"/>
          <w:color w:val="000000"/>
          <w:sz w:val="22"/>
          <w:szCs w:val="22"/>
          <w:lang w:eastAsia="en-US"/>
        </w:rPr>
        <w:t>: (none)</w:t>
      </w:r>
    </w:p>
    <w:p w14:paraId="05ACA308" w14:textId="77777777" w:rsidR="001169F6" w:rsidRPr="001169F6" w:rsidRDefault="001169F6" w:rsidP="001169F6">
      <w:pPr>
        <w:spacing w:after="0" w:line="240" w:lineRule="auto"/>
        <w:rPr>
          <w:rFonts w:ascii="Times New Roman" w:eastAsia="Times New Roman" w:hAnsi="Times New Roman" w:cs="Times New Roman"/>
          <w:color w:val="auto"/>
          <w:szCs w:val="24"/>
          <w:lang w:eastAsia="en-US"/>
        </w:rPr>
      </w:pPr>
      <w:r w:rsidRPr="001169F6">
        <w:rPr>
          <w:rFonts w:ascii="Arial" w:eastAsia="Times New Roman" w:hAnsi="Arial" w:cs="Arial"/>
          <w:b/>
          <w:bCs/>
          <w:color w:val="000000"/>
          <w:sz w:val="22"/>
          <w:szCs w:val="22"/>
          <w:lang w:eastAsia="en-US"/>
        </w:rPr>
        <w:t>Proposed future review date</w:t>
      </w:r>
      <w:r w:rsidRPr="001169F6">
        <w:rPr>
          <w:rFonts w:ascii="Arial" w:eastAsia="Times New Roman" w:hAnsi="Arial" w:cs="Arial"/>
          <w:color w:val="000000"/>
          <w:sz w:val="22"/>
          <w:szCs w:val="22"/>
          <w:lang w:eastAsia="en-US"/>
        </w:rPr>
        <w:t>: TBD</w:t>
      </w:r>
    </w:p>
    <w:p w14:paraId="4AF72C11" w14:textId="77777777" w:rsidR="001169F6" w:rsidRPr="001169F6" w:rsidRDefault="001169F6" w:rsidP="001169F6">
      <w:pPr>
        <w:spacing w:after="0" w:line="240" w:lineRule="auto"/>
        <w:rPr>
          <w:rFonts w:ascii="Times New Roman" w:eastAsia="Times New Roman" w:hAnsi="Times New Roman" w:cs="Times New Roman"/>
          <w:color w:val="auto"/>
          <w:szCs w:val="24"/>
          <w:lang w:eastAsia="en-US"/>
        </w:rPr>
      </w:pPr>
      <w:r w:rsidRPr="001169F6">
        <w:rPr>
          <w:rFonts w:ascii="Arial" w:eastAsia="Times New Roman" w:hAnsi="Arial" w:cs="Arial"/>
          <w:b/>
          <w:bCs/>
          <w:color w:val="000000"/>
          <w:sz w:val="22"/>
          <w:szCs w:val="22"/>
          <w:lang w:eastAsia="en-US"/>
        </w:rPr>
        <w:t>Subject tags:</w:t>
      </w:r>
      <w:r w:rsidRPr="001169F6">
        <w:rPr>
          <w:rFonts w:ascii="Arial" w:eastAsia="Times New Roman" w:hAnsi="Arial" w:cs="Arial"/>
          <w:color w:val="000000"/>
          <w:sz w:val="22"/>
          <w:szCs w:val="22"/>
          <w:lang w:eastAsia="en-US"/>
        </w:rPr>
        <w:t xml:space="preserve"> </w:t>
      </w:r>
      <w:proofErr w:type="spellStart"/>
      <w:r w:rsidRPr="001169F6">
        <w:rPr>
          <w:rFonts w:ascii="Arial" w:eastAsia="Times New Roman" w:hAnsi="Arial" w:cs="Arial"/>
          <w:color w:val="000000"/>
          <w:sz w:val="22"/>
          <w:szCs w:val="22"/>
          <w:lang w:eastAsia="en-US"/>
        </w:rPr>
        <w:t>InCommon</w:t>
      </w:r>
      <w:proofErr w:type="spellEnd"/>
      <w:r w:rsidRPr="001169F6">
        <w:rPr>
          <w:rFonts w:ascii="Arial" w:eastAsia="Times New Roman" w:hAnsi="Arial" w:cs="Arial"/>
          <w:color w:val="000000"/>
          <w:sz w:val="22"/>
          <w:szCs w:val="22"/>
          <w:lang w:eastAsia="en-US"/>
        </w:rPr>
        <w:t>, federation, assurance, trust, framework</w:t>
      </w:r>
    </w:p>
    <w:p w14:paraId="7183C2DD" w14:textId="66D7945D" w:rsidR="00A0301E" w:rsidRDefault="00A0301E" w:rsidP="00A0301E">
      <w:pPr>
        <w:pStyle w:val="RepositoryInfo"/>
        <w:spacing w:before="80"/>
        <w:rPr>
          <w:b/>
        </w:rPr>
      </w:pPr>
    </w:p>
    <w:p w14:paraId="1D26A30B" w14:textId="77777777" w:rsidR="00A0301E" w:rsidRDefault="00A0301E" w:rsidP="00A0301E">
      <w:pPr>
        <w:pStyle w:val="RepositoryInfo"/>
        <w:spacing w:before="80"/>
      </w:pPr>
    </w:p>
    <w:p w14:paraId="027096FF" w14:textId="189F936E" w:rsidR="00EB40B9" w:rsidRDefault="00EB40B9" w:rsidP="00FB53E4">
      <w:pPr>
        <w:pStyle w:val="RepositoryInfo"/>
        <w:spacing w:before="80"/>
      </w:pPr>
    </w:p>
    <w:p w14:paraId="345D5C5A" w14:textId="620D175A" w:rsidR="00EB40B9" w:rsidRPr="0062299F" w:rsidRDefault="00EB40B9" w:rsidP="0062299F">
      <w:pPr>
        <w:pStyle w:val="RepositoryInfo"/>
        <w:rPr>
          <w:color w:val="auto"/>
        </w:rPr>
      </w:pPr>
      <w:r>
        <w:rPr>
          <w:shd w:val="clear" w:color="auto" w:fill="FFFFFF"/>
        </w:rPr>
        <w:t xml:space="preserve">© 2018 Internet2. This work is licensed under a </w:t>
      </w:r>
      <w:hyperlink r:id="rId18" w:history="1">
        <w:r>
          <w:rPr>
            <w:rStyle w:val="Hyperlink"/>
            <w:color w:val="3572B0"/>
            <w:sz w:val="21"/>
            <w:szCs w:val="21"/>
            <w:shd w:val="clear" w:color="auto" w:fill="FFFFFF"/>
          </w:rPr>
          <w:t>Creative Commons Attribution 4.0 International License.</w:t>
        </w:r>
      </w:hyperlink>
    </w:p>
    <w:sdt>
      <w:sdtPr>
        <w:rPr>
          <w:rFonts w:asciiTheme="minorHAnsi" w:eastAsiaTheme="minorHAnsi" w:hAnsiTheme="minorHAnsi" w:cstheme="minorBidi"/>
          <w:b w:val="0"/>
          <w:bCs w:val="0"/>
          <w:color w:val="404040" w:themeColor="text1" w:themeTint="BF"/>
          <w:kern w:val="0"/>
          <w:sz w:val="24"/>
        </w:rPr>
        <w:id w:val="296415793"/>
        <w:docPartObj>
          <w:docPartGallery w:val="Table of Contents"/>
          <w:docPartUnique/>
        </w:docPartObj>
      </w:sdtPr>
      <w:sdtEndPr>
        <w:rPr>
          <w:rFonts w:eastAsiaTheme="minorEastAsia"/>
          <w:noProof/>
        </w:rPr>
      </w:sdtEndPr>
      <w:sdtContent>
        <w:bookmarkStart w:id="0" w:name="_GoBack" w:displacedByCustomXml="prev"/>
        <w:bookmarkEnd w:id="0" w:displacedByCustomXml="prev"/>
        <w:p w14:paraId="01C9976B" w14:textId="0AD33D9A" w:rsidR="008952F1" w:rsidRDefault="008952F1">
          <w:pPr>
            <w:pStyle w:val="TOCHeading"/>
          </w:pPr>
          <w:r>
            <w:t>Table of Contents</w:t>
          </w:r>
        </w:p>
        <w:p w14:paraId="7FD3DE8B" w14:textId="53772DB2" w:rsidR="0062299F" w:rsidRDefault="008952F1">
          <w:pPr>
            <w:pStyle w:val="TOC1"/>
            <w:tabs>
              <w:tab w:val="right" w:leader="dot" w:pos="8414"/>
            </w:tabs>
            <w:rPr>
              <w:rFonts w:cstheme="minorBidi"/>
              <w:b w:val="0"/>
              <w:bCs w:val="0"/>
              <w:noProof/>
              <w:color w:val="auto"/>
              <w:lang w:eastAsia="en-US"/>
            </w:rPr>
          </w:pPr>
          <w:r>
            <w:rPr>
              <w:b w:val="0"/>
              <w:bCs w:val="0"/>
            </w:rPr>
            <w:fldChar w:fldCharType="begin"/>
          </w:r>
          <w:r>
            <w:instrText xml:space="preserve"> TOC \o "1-3" \h \z \u </w:instrText>
          </w:r>
          <w:r>
            <w:rPr>
              <w:b w:val="0"/>
              <w:bCs w:val="0"/>
            </w:rPr>
            <w:fldChar w:fldCharType="separate"/>
          </w:r>
          <w:hyperlink w:anchor="_Toc506378250" w:history="1">
            <w:r w:rsidR="0062299F" w:rsidRPr="00C6631D">
              <w:rPr>
                <w:rStyle w:val="Hyperlink"/>
                <w:noProof/>
              </w:rPr>
              <w:t>Overview</w:t>
            </w:r>
            <w:r w:rsidR="0062299F">
              <w:rPr>
                <w:noProof/>
                <w:webHidden/>
              </w:rPr>
              <w:tab/>
            </w:r>
            <w:r w:rsidR="0062299F">
              <w:rPr>
                <w:noProof/>
                <w:webHidden/>
              </w:rPr>
              <w:fldChar w:fldCharType="begin"/>
            </w:r>
            <w:r w:rsidR="0062299F">
              <w:rPr>
                <w:noProof/>
                <w:webHidden/>
              </w:rPr>
              <w:instrText xml:space="preserve"> PAGEREF _Toc506378250 \h </w:instrText>
            </w:r>
            <w:r w:rsidR="0062299F">
              <w:rPr>
                <w:noProof/>
                <w:webHidden/>
              </w:rPr>
            </w:r>
            <w:r w:rsidR="0062299F">
              <w:rPr>
                <w:noProof/>
                <w:webHidden/>
              </w:rPr>
              <w:fldChar w:fldCharType="separate"/>
            </w:r>
            <w:r w:rsidR="0062299F">
              <w:rPr>
                <w:noProof/>
                <w:webHidden/>
              </w:rPr>
              <w:t>3</w:t>
            </w:r>
            <w:r w:rsidR="0062299F">
              <w:rPr>
                <w:noProof/>
                <w:webHidden/>
              </w:rPr>
              <w:fldChar w:fldCharType="end"/>
            </w:r>
          </w:hyperlink>
        </w:p>
        <w:p w14:paraId="7E0D89FB" w14:textId="3CEBDAF1" w:rsidR="0062299F" w:rsidRDefault="0062299F">
          <w:pPr>
            <w:pStyle w:val="TOC1"/>
            <w:tabs>
              <w:tab w:val="right" w:leader="dot" w:pos="8414"/>
            </w:tabs>
            <w:rPr>
              <w:rFonts w:cstheme="minorBidi"/>
              <w:b w:val="0"/>
              <w:bCs w:val="0"/>
              <w:noProof/>
              <w:color w:val="auto"/>
              <w:lang w:eastAsia="en-US"/>
            </w:rPr>
          </w:pPr>
          <w:hyperlink w:anchor="_Toc506378251" w:history="1">
            <w:r w:rsidRPr="00C6631D">
              <w:rPr>
                <w:rStyle w:val="Hyperlink"/>
                <w:noProof/>
              </w:rPr>
              <w:t>Community</w:t>
            </w:r>
            <w:r w:rsidRPr="00C6631D">
              <w:rPr>
                <w:rStyle w:val="Hyperlink"/>
                <w:noProof/>
                <w:lang w:eastAsia="en-US"/>
              </w:rPr>
              <w:t xml:space="preserve"> Dispute Resolution Process</w:t>
            </w:r>
            <w:r>
              <w:rPr>
                <w:noProof/>
                <w:webHidden/>
              </w:rPr>
              <w:tab/>
            </w:r>
            <w:r>
              <w:rPr>
                <w:noProof/>
                <w:webHidden/>
              </w:rPr>
              <w:fldChar w:fldCharType="begin"/>
            </w:r>
            <w:r>
              <w:rPr>
                <w:noProof/>
                <w:webHidden/>
              </w:rPr>
              <w:instrText xml:space="preserve"> PAGEREF _Toc506378251 \h </w:instrText>
            </w:r>
            <w:r>
              <w:rPr>
                <w:noProof/>
                <w:webHidden/>
              </w:rPr>
            </w:r>
            <w:r>
              <w:rPr>
                <w:noProof/>
                <w:webHidden/>
              </w:rPr>
              <w:fldChar w:fldCharType="separate"/>
            </w:r>
            <w:r>
              <w:rPr>
                <w:noProof/>
                <w:webHidden/>
              </w:rPr>
              <w:t>4</w:t>
            </w:r>
            <w:r>
              <w:rPr>
                <w:noProof/>
                <w:webHidden/>
              </w:rPr>
              <w:fldChar w:fldCharType="end"/>
            </w:r>
          </w:hyperlink>
        </w:p>
        <w:p w14:paraId="68735C64" w14:textId="6A6BBACA" w:rsidR="0062299F" w:rsidRDefault="0062299F">
          <w:pPr>
            <w:pStyle w:val="TOC3"/>
            <w:tabs>
              <w:tab w:val="right" w:leader="dot" w:pos="8414"/>
            </w:tabs>
            <w:rPr>
              <w:rFonts w:cstheme="minorBidi"/>
              <w:noProof/>
              <w:color w:val="auto"/>
              <w:sz w:val="24"/>
              <w:szCs w:val="24"/>
              <w:lang w:eastAsia="en-US"/>
            </w:rPr>
          </w:pPr>
          <w:hyperlink w:anchor="_Toc506378252" w:history="1">
            <w:r w:rsidRPr="00C6631D">
              <w:rPr>
                <w:rStyle w:val="Hyperlink"/>
                <w:noProof/>
              </w:rPr>
              <w:t>First Stage</w:t>
            </w:r>
            <w:r>
              <w:rPr>
                <w:noProof/>
                <w:webHidden/>
              </w:rPr>
              <w:tab/>
            </w:r>
            <w:r>
              <w:rPr>
                <w:noProof/>
                <w:webHidden/>
              </w:rPr>
              <w:fldChar w:fldCharType="begin"/>
            </w:r>
            <w:r>
              <w:rPr>
                <w:noProof/>
                <w:webHidden/>
              </w:rPr>
              <w:instrText xml:space="preserve"> PAGEREF _Toc506378252 \h </w:instrText>
            </w:r>
            <w:r>
              <w:rPr>
                <w:noProof/>
                <w:webHidden/>
              </w:rPr>
            </w:r>
            <w:r>
              <w:rPr>
                <w:noProof/>
                <w:webHidden/>
              </w:rPr>
              <w:fldChar w:fldCharType="separate"/>
            </w:r>
            <w:r>
              <w:rPr>
                <w:noProof/>
                <w:webHidden/>
              </w:rPr>
              <w:t>4</w:t>
            </w:r>
            <w:r>
              <w:rPr>
                <w:noProof/>
                <w:webHidden/>
              </w:rPr>
              <w:fldChar w:fldCharType="end"/>
            </w:r>
          </w:hyperlink>
        </w:p>
        <w:p w14:paraId="2CAC4C0F" w14:textId="01AFC258" w:rsidR="0062299F" w:rsidRDefault="0062299F">
          <w:pPr>
            <w:pStyle w:val="TOC3"/>
            <w:tabs>
              <w:tab w:val="right" w:leader="dot" w:pos="8414"/>
            </w:tabs>
            <w:rPr>
              <w:rFonts w:cstheme="minorBidi"/>
              <w:noProof/>
              <w:color w:val="auto"/>
              <w:sz w:val="24"/>
              <w:szCs w:val="24"/>
              <w:lang w:eastAsia="en-US"/>
            </w:rPr>
          </w:pPr>
          <w:hyperlink w:anchor="_Toc506378253" w:history="1">
            <w:r w:rsidRPr="00C6631D">
              <w:rPr>
                <w:rStyle w:val="Hyperlink"/>
                <w:noProof/>
              </w:rPr>
              <w:t>Second Stage</w:t>
            </w:r>
            <w:r>
              <w:rPr>
                <w:noProof/>
                <w:webHidden/>
              </w:rPr>
              <w:tab/>
            </w:r>
            <w:r>
              <w:rPr>
                <w:noProof/>
                <w:webHidden/>
              </w:rPr>
              <w:fldChar w:fldCharType="begin"/>
            </w:r>
            <w:r>
              <w:rPr>
                <w:noProof/>
                <w:webHidden/>
              </w:rPr>
              <w:instrText xml:space="preserve"> PAGEREF _Toc506378253 \h </w:instrText>
            </w:r>
            <w:r>
              <w:rPr>
                <w:noProof/>
                <w:webHidden/>
              </w:rPr>
            </w:r>
            <w:r>
              <w:rPr>
                <w:noProof/>
                <w:webHidden/>
              </w:rPr>
              <w:fldChar w:fldCharType="separate"/>
            </w:r>
            <w:r>
              <w:rPr>
                <w:noProof/>
                <w:webHidden/>
              </w:rPr>
              <w:t>4</w:t>
            </w:r>
            <w:r>
              <w:rPr>
                <w:noProof/>
                <w:webHidden/>
              </w:rPr>
              <w:fldChar w:fldCharType="end"/>
            </w:r>
          </w:hyperlink>
        </w:p>
        <w:p w14:paraId="68EEAC38" w14:textId="28E6E91B" w:rsidR="0062299F" w:rsidRDefault="0062299F">
          <w:pPr>
            <w:pStyle w:val="TOC3"/>
            <w:tabs>
              <w:tab w:val="right" w:leader="dot" w:pos="8414"/>
            </w:tabs>
            <w:rPr>
              <w:rFonts w:cstheme="minorBidi"/>
              <w:noProof/>
              <w:color w:val="auto"/>
              <w:sz w:val="24"/>
              <w:szCs w:val="24"/>
              <w:lang w:eastAsia="en-US"/>
            </w:rPr>
          </w:pPr>
          <w:hyperlink w:anchor="_Toc506378254" w:history="1">
            <w:r w:rsidRPr="00C6631D">
              <w:rPr>
                <w:rStyle w:val="Hyperlink"/>
                <w:noProof/>
              </w:rPr>
              <w:t>Third Stage</w:t>
            </w:r>
            <w:r>
              <w:rPr>
                <w:noProof/>
                <w:webHidden/>
              </w:rPr>
              <w:tab/>
            </w:r>
            <w:r>
              <w:rPr>
                <w:noProof/>
                <w:webHidden/>
              </w:rPr>
              <w:fldChar w:fldCharType="begin"/>
            </w:r>
            <w:r>
              <w:rPr>
                <w:noProof/>
                <w:webHidden/>
              </w:rPr>
              <w:instrText xml:space="preserve"> PAGEREF _Toc506378254 \h </w:instrText>
            </w:r>
            <w:r>
              <w:rPr>
                <w:noProof/>
                <w:webHidden/>
              </w:rPr>
            </w:r>
            <w:r>
              <w:rPr>
                <w:noProof/>
                <w:webHidden/>
              </w:rPr>
              <w:fldChar w:fldCharType="separate"/>
            </w:r>
            <w:r>
              <w:rPr>
                <w:noProof/>
                <w:webHidden/>
              </w:rPr>
              <w:t>5</w:t>
            </w:r>
            <w:r>
              <w:rPr>
                <w:noProof/>
                <w:webHidden/>
              </w:rPr>
              <w:fldChar w:fldCharType="end"/>
            </w:r>
          </w:hyperlink>
        </w:p>
        <w:p w14:paraId="2751D934" w14:textId="0B3B7B15" w:rsidR="0062299F" w:rsidRDefault="0062299F">
          <w:pPr>
            <w:pStyle w:val="TOC1"/>
            <w:tabs>
              <w:tab w:val="right" w:leader="dot" w:pos="8414"/>
            </w:tabs>
            <w:rPr>
              <w:rFonts w:cstheme="minorBidi"/>
              <w:b w:val="0"/>
              <w:bCs w:val="0"/>
              <w:noProof/>
              <w:color w:val="auto"/>
              <w:lang w:eastAsia="en-US"/>
            </w:rPr>
          </w:pPr>
          <w:hyperlink w:anchor="_Toc506378255" w:history="1">
            <w:r w:rsidRPr="00C6631D">
              <w:rPr>
                <w:rStyle w:val="Hyperlink"/>
                <w:noProof/>
              </w:rPr>
              <w:t>On-Going Federation Operational Processes</w:t>
            </w:r>
            <w:r>
              <w:rPr>
                <w:noProof/>
                <w:webHidden/>
              </w:rPr>
              <w:tab/>
            </w:r>
            <w:r>
              <w:rPr>
                <w:noProof/>
                <w:webHidden/>
              </w:rPr>
              <w:fldChar w:fldCharType="begin"/>
            </w:r>
            <w:r>
              <w:rPr>
                <w:noProof/>
                <w:webHidden/>
              </w:rPr>
              <w:instrText xml:space="preserve"> PAGEREF _Toc506378255 \h </w:instrText>
            </w:r>
            <w:r>
              <w:rPr>
                <w:noProof/>
                <w:webHidden/>
              </w:rPr>
            </w:r>
            <w:r>
              <w:rPr>
                <w:noProof/>
                <w:webHidden/>
              </w:rPr>
              <w:fldChar w:fldCharType="separate"/>
            </w:r>
            <w:r>
              <w:rPr>
                <w:noProof/>
                <w:webHidden/>
              </w:rPr>
              <w:t>7</w:t>
            </w:r>
            <w:r>
              <w:rPr>
                <w:noProof/>
                <w:webHidden/>
              </w:rPr>
              <w:fldChar w:fldCharType="end"/>
            </w:r>
          </w:hyperlink>
        </w:p>
        <w:p w14:paraId="0A067935" w14:textId="28D6C324" w:rsidR="0062299F" w:rsidRDefault="0062299F">
          <w:pPr>
            <w:pStyle w:val="TOC3"/>
            <w:tabs>
              <w:tab w:val="right" w:leader="dot" w:pos="8414"/>
            </w:tabs>
            <w:rPr>
              <w:rFonts w:cstheme="minorBidi"/>
              <w:noProof/>
              <w:color w:val="auto"/>
              <w:sz w:val="24"/>
              <w:szCs w:val="24"/>
              <w:lang w:eastAsia="en-US"/>
            </w:rPr>
          </w:pPr>
          <w:hyperlink w:anchor="_Toc506378256" w:history="1">
            <w:r w:rsidRPr="00C6631D">
              <w:rPr>
                <w:rStyle w:val="Hyperlink"/>
                <w:noProof/>
              </w:rPr>
              <w:t>Process to Notify InCommon Community of Intent to Alter Participant Metadata</w:t>
            </w:r>
            <w:r>
              <w:rPr>
                <w:noProof/>
                <w:webHidden/>
              </w:rPr>
              <w:tab/>
            </w:r>
            <w:r>
              <w:rPr>
                <w:noProof/>
                <w:webHidden/>
              </w:rPr>
              <w:fldChar w:fldCharType="begin"/>
            </w:r>
            <w:r>
              <w:rPr>
                <w:noProof/>
                <w:webHidden/>
              </w:rPr>
              <w:instrText xml:space="preserve"> PAGEREF _Toc506378256 \h </w:instrText>
            </w:r>
            <w:r>
              <w:rPr>
                <w:noProof/>
                <w:webHidden/>
              </w:rPr>
            </w:r>
            <w:r>
              <w:rPr>
                <w:noProof/>
                <w:webHidden/>
              </w:rPr>
              <w:fldChar w:fldCharType="separate"/>
            </w:r>
            <w:r>
              <w:rPr>
                <w:noProof/>
                <w:webHidden/>
              </w:rPr>
              <w:t>7</w:t>
            </w:r>
            <w:r>
              <w:rPr>
                <w:noProof/>
                <w:webHidden/>
              </w:rPr>
              <w:fldChar w:fldCharType="end"/>
            </w:r>
          </w:hyperlink>
        </w:p>
        <w:p w14:paraId="3564AD83" w14:textId="0090C889" w:rsidR="0062299F" w:rsidRDefault="0062299F">
          <w:pPr>
            <w:pStyle w:val="TOC1"/>
            <w:tabs>
              <w:tab w:val="right" w:leader="dot" w:pos="8414"/>
            </w:tabs>
            <w:rPr>
              <w:rFonts w:cstheme="minorBidi"/>
              <w:b w:val="0"/>
              <w:bCs w:val="0"/>
              <w:noProof/>
              <w:color w:val="auto"/>
              <w:lang w:eastAsia="en-US"/>
            </w:rPr>
          </w:pPr>
          <w:hyperlink w:anchor="_Toc506378257" w:history="1">
            <w:r w:rsidRPr="00C6631D">
              <w:rPr>
                <w:rStyle w:val="Hyperlink"/>
                <w:noProof/>
              </w:rPr>
              <w:t>Reinstatement</w:t>
            </w:r>
            <w:r>
              <w:rPr>
                <w:noProof/>
                <w:webHidden/>
              </w:rPr>
              <w:tab/>
            </w:r>
            <w:r>
              <w:rPr>
                <w:noProof/>
                <w:webHidden/>
              </w:rPr>
              <w:fldChar w:fldCharType="begin"/>
            </w:r>
            <w:r>
              <w:rPr>
                <w:noProof/>
                <w:webHidden/>
              </w:rPr>
              <w:instrText xml:space="preserve"> PAGEREF _Toc506378257 \h </w:instrText>
            </w:r>
            <w:r>
              <w:rPr>
                <w:noProof/>
                <w:webHidden/>
              </w:rPr>
            </w:r>
            <w:r>
              <w:rPr>
                <w:noProof/>
                <w:webHidden/>
              </w:rPr>
              <w:fldChar w:fldCharType="separate"/>
            </w:r>
            <w:r>
              <w:rPr>
                <w:noProof/>
                <w:webHidden/>
              </w:rPr>
              <w:t>9</w:t>
            </w:r>
            <w:r>
              <w:rPr>
                <w:noProof/>
                <w:webHidden/>
              </w:rPr>
              <w:fldChar w:fldCharType="end"/>
            </w:r>
          </w:hyperlink>
        </w:p>
        <w:p w14:paraId="72614A76" w14:textId="6B625F7F" w:rsidR="0062299F" w:rsidRDefault="0062299F">
          <w:pPr>
            <w:pStyle w:val="TOC1"/>
            <w:tabs>
              <w:tab w:val="right" w:leader="dot" w:pos="8414"/>
            </w:tabs>
            <w:rPr>
              <w:rFonts w:cstheme="minorBidi"/>
              <w:b w:val="0"/>
              <w:bCs w:val="0"/>
              <w:noProof/>
              <w:color w:val="auto"/>
              <w:lang w:eastAsia="en-US"/>
            </w:rPr>
          </w:pPr>
          <w:hyperlink w:anchor="_Toc506378258" w:history="1">
            <w:r w:rsidRPr="00C6631D">
              <w:rPr>
                <w:rStyle w:val="Hyperlink"/>
                <w:noProof/>
              </w:rPr>
              <w:t>Publication of the Operation of These Maintenance Processes</w:t>
            </w:r>
            <w:r>
              <w:rPr>
                <w:noProof/>
                <w:webHidden/>
              </w:rPr>
              <w:tab/>
            </w:r>
            <w:r>
              <w:rPr>
                <w:noProof/>
                <w:webHidden/>
              </w:rPr>
              <w:fldChar w:fldCharType="begin"/>
            </w:r>
            <w:r>
              <w:rPr>
                <w:noProof/>
                <w:webHidden/>
              </w:rPr>
              <w:instrText xml:space="preserve"> PAGEREF _Toc506378258 \h </w:instrText>
            </w:r>
            <w:r>
              <w:rPr>
                <w:noProof/>
                <w:webHidden/>
              </w:rPr>
            </w:r>
            <w:r>
              <w:rPr>
                <w:noProof/>
                <w:webHidden/>
              </w:rPr>
              <w:fldChar w:fldCharType="separate"/>
            </w:r>
            <w:r>
              <w:rPr>
                <w:noProof/>
                <w:webHidden/>
              </w:rPr>
              <w:t>10</w:t>
            </w:r>
            <w:r>
              <w:rPr>
                <w:noProof/>
                <w:webHidden/>
              </w:rPr>
              <w:fldChar w:fldCharType="end"/>
            </w:r>
          </w:hyperlink>
        </w:p>
        <w:p w14:paraId="197282D6" w14:textId="6EEB13EA" w:rsidR="0062299F" w:rsidRDefault="0062299F">
          <w:pPr>
            <w:pStyle w:val="TOC1"/>
            <w:tabs>
              <w:tab w:val="right" w:leader="dot" w:pos="8414"/>
            </w:tabs>
            <w:rPr>
              <w:rFonts w:cstheme="minorBidi"/>
              <w:b w:val="0"/>
              <w:bCs w:val="0"/>
              <w:noProof/>
              <w:color w:val="auto"/>
              <w:lang w:eastAsia="en-US"/>
            </w:rPr>
          </w:pPr>
          <w:hyperlink w:anchor="_Toc506378259" w:history="1">
            <w:r w:rsidRPr="00C6631D">
              <w:rPr>
                <w:rStyle w:val="Hyperlink"/>
                <w:noProof/>
              </w:rPr>
              <w:t>Appendix A</w:t>
            </w:r>
            <w:r>
              <w:rPr>
                <w:noProof/>
                <w:webHidden/>
              </w:rPr>
              <w:tab/>
            </w:r>
            <w:r>
              <w:rPr>
                <w:noProof/>
                <w:webHidden/>
              </w:rPr>
              <w:fldChar w:fldCharType="begin"/>
            </w:r>
            <w:r>
              <w:rPr>
                <w:noProof/>
                <w:webHidden/>
              </w:rPr>
              <w:instrText xml:space="preserve"> PAGEREF _Toc506378259 \h </w:instrText>
            </w:r>
            <w:r>
              <w:rPr>
                <w:noProof/>
                <w:webHidden/>
              </w:rPr>
            </w:r>
            <w:r>
              <w:rPr>
                <w:noProof/>
                <w:webHidden/>
              </w:rPr>
              <w:fldChar w:fldCharType="separate"/>
            </w:r>
            <w:r>
              <w:rPr>
                <w:noProof/>
                <w:webHidden/>
              </w:rPr>
              <w:t>11</w:t>
            </w:r>
            <w:r>
              <w:rPr>
                <w:noProof/>
                <w:webHidden/>
              </w:rPr>
              <w:fldChar w:fldCharType="end"/>
            </w:r>
          </w:hyperlink>
        </w:p>
        <w:p w14:paraId="591209DB" w14:textId="0203B23A" w:rsidR="0062299F" w:rsidRDefault="0062299F">
          <w:pPr>
            <w:pStyle w:val="TOC2"/>
            <w:tabs>
              <w:tab w:val="right" w:leader="dot" w:pos="8414"/>
            </w:tabs>
            <w:rPr>
              <w:rFonts w:cstheme="minorBidi"/>
              <w:b w:val="0"/>
              <w:bCs w:val="0"/>
              <w:noProof/>
              <w:color w:val="auto"/>
              <w:sz w:val="24"/>
              <w:szCs w:val="24"/>
              <w:lang w:eastAsia="en-US"/>
            </w:rPr>
          </w:pPr>
          <w:hyperlink w:anchor="_Toc506378260" w:history="1">
            <w:r w:rsidRPr="00C6631D">
              <w:rPr>
                <w:rStyle w:val="Hyperlink"/>
                <w:noProof/>
              </w:rPr>
              <w:t>Maintain Accuracy of Contact Info, MDUI, Error and Privacy URLs in Metadata</w:t>
            </w:r>
            <w:r>
              <w:rPr>
                <w:noProof/>
                <w:webHidden/>
              </w:rPr>
              <w:tab/>
            </w:r>
            <w:r>
              <w:rPr>
                <w:noProof/>
                <w:webHidden/>
              </w:rPr>
              <w:fldChar w:fldCharType="begin"/>
            </w:r>
            <w:r>
              <w:rPr>
                <w:noProof/>
                <w:webHidden/>
              </w:rPr>
              <w:instrText xml:space="preserve"> PAGEREF _Toc506378260 \h </w:instrText>
            </w:r>
            <w:r>
              <w:rPr>
                <w:noProof/>
                <w:webHidden/>
              </w:rPr>
            </w:r>
            <w:r>
              <w:rPr>
                <w:noProof/>
                <w:webHidden/>
              </w:rPr>
              <w:fldChar w:fldCharType="separate"/>
            </w:r>
            <w:r>
              <w:rPr>
                <w:noProof/>
                <w:webHidden/>
              </w:rPr>
              <w:t>11</w:t>
            </w:r>
            <w:r>
              <w:rPr>
                <w:noProof/>
                <w:webHidden/>
              </w:rPr>
              <w:fldChar w:fldCharType="end"/>
            </w:r>
          </w:hyperlink>
        </w:p>
        <w:p w14:paraId="241106A7" w14:textId="6D6DCC87" w:rsidR="0062299F" w:rsidRDefault="0062299F">
          <w:pPr>
            <w:pStyle w:val="TOC1"/>
            <w:tabs>
              <w:tab w:val="right" w:leader="dot" w:pos="8414"/>
            </w:tabs>
            <w:rPr>
              <w:rFonts w:cstheme="minorBidi"/>
              <w:b w:val="0"/>
              <w:bCs w:val="0"/>
              <w:noProof/>
              <w:color w:val="auto"/>
              <w:lang w:eastAsia="en-US"/>
            </w:rPr>
          </w:pPr>
          <w:hyperlink w:anchor="_Toc506378261" w:history="1">
            <w:r w:rsidRPr="00C6631D">
              <w:rPr>
                <w:rStyle w:val="Hyperlink"/>
                <w:noProof/>
              </w:rPr>
              <w:t>Appendix B: Diagram of Community Dispute Resolution Process</w:t>
            </w:r>
            <w:r>
              <w:rPr>
                <w:noProof/>
                <w:webHidden/>
              </w:rPr>
              <w:tab/>
            </w:r>
            <w:r>
              <w:rPr>
                <w:noProof/>
                <w:webHidden/>
              </w:rPr>
              <w:fldChar w:fldCharType="begin"/>
            </w:r>
            <w:r>
              <w:rPr>
                <w:noProof/>
                <w:webHidden/>
              </w:rPr>
              <w:instrText xml:space="preserve"> PAGEREF _Toc506378261 \h </w:instrText>
            </w:r>
            <w:r>
              <w:rPr>
                <w:noProof/>
                <w:webHidden/>
              </w:rPr>
            </w:r>
            <w:r>
              <w:rPr>
                <w:noProof/>
                <w:webHidden/>
              </w:rPr>
              <w:fldChar w:fldCharType="separate"/>
            </w:r>
            <w:r>
              <w:rPr>
                <w:noProof/>
                <w:webHidden/>
              </w:rPr>
              <w:t>12</w:t>
            </w:r>
            <w:r>
              <w:rPr>
                <w:noProof/>
                <w:webHidden/>
              </w:rPr>
              <w:fldChar w:fldCharType="end"/>
            </w:r>
          </w:hyperlink>
        </w:p>
        <w:p w14:paraId="2DC2A13D" w14:textId="6EBA657A" w:rsidR="008952F1" w:rsidRDefault="008952F1">
          <w:r>
            <w:rPr>
              <w:b/>
              <w:bCs/>
              <w:noProof/>
            </w:rPr>
            <w:fldChar w:fldCharType="end"/>
          </w:r>
        </w:p>
      </w:sdtContent>
    </w:sdt>
    <w:p w14:paraId="03422FD5" w14:textId="77777777" w:rsidR="00184B35" w:rsidRDefault="00184B35"/>
    <w:p w14:paraId="1D31B142" w14:textId="77777777" w:rsidR="00184B35" w:rsidRDefault="00184B35">
      <w:pPr>
        <w:sectPr w:rsidR="00184B35" w:rsidSect="00E66EB3">
          <w:type w:val="continuous"/>
          <w:pgSz w:w="12240" w:h="15840" w:code="1"/>
          <w:pgMar w:top="86" w:right="720" w:bottom="1273" w:left="3096" w:header="1080" w:footer="1080" w:gutter="0"/>
          <w:cols w:space="708"/>
          <w:titlePg/>
          <w:docGrid w:linePitch="360"/>
        </w:sectPr>
      </w:pPr>
    </w:p>
    <w:p w14:paraId="1669F145" w14:textId="3EDBD750" w:rsidR="00184B35" w:rsidRDefault="001169F6" w:rsidP="0037604B">
      <w:pPr>
        <w:pStyle w:val="Heading1"/>
      </w:pPr>
      <w:bookmarkStart w:id="1" w:name="_Toc506378250"/>
      <w:r>
        <w:lastRenderedPageBreak/>
        <w:t>Overview</w:t>
      </w:r>
      <w:bookmarkEnd w:id="1"/>
    </w:p>
    <w:p w14:paraId="612AB5A0" w14:textId="77777777" w:rsidR="001169F6" w:rsidRPr="001169F6" w:rsidRDefault="001169F6" w:rsidP="002B5D8D">
      <w:r w:rsidRPr="001169F6">
        <w:t xml:space="preserve">In recognition of the importance of the on-going and gradually increasing level of trustworthiness needed in federation transactions, </w:t>
      </w:r>
      <w:proofErr w:type="spellStart"/>
      <w:r w:rsidRPr="001169F6">
        <w:t>InCommon</w:t>
      </w:r>
      <w:proofErr w:type="spellEnd"/>
      <w:r w:rsidRPr="001169F6">
        <w:t xml:space="preserve"> Participants have established </w:t>
      </w:r>
      <w:hyperlink r:id="rId19" w:history="1">
        <w:r w:rsidRPr="001169F6">
          <w:rPr>
            <w:color w:val="103CC0"/>
            <w:u w:val="single" w:color="103CC0"/>
          </w:rPr>
          <w:t>Baseline Expectations</w:t>
        </w:r>
      </w:hyperlink>
      <w:r w:rsidRPr="001169F6">
        <w:t xml:space="preserve"> as one means to define what they expect of each other, and of </w:t>
      </w:r>
      <w:proofErr w:type="spellStart"/>
      <w:r w:rsidRPr="001169F6">
        <w:t>InCommon</w:t>
      </w:r>
      <w:proofErr w:type="spellEnd"/>
      <w:r w:rsidRPr="001169F6">
        <w:t xml:space="preserve"> Operations. As a baseline, federation members must meet or exceed this level of trustworthiness. The processes defined below are the means by which </w:t>
      </w:r>
      <w:proofErr w:type="spellStart"/>
      <w:r w:rsidRPr="001169F6">
        <w:t>InCommon</w:t>
      </w:r>
      <w:proofErr w:type="spellEnd"/>
      <w:r w:rsidRPr="001169F6">
        <w:t xml:space="preserve"> and </w:t>
      </w:r>
      <w:proofErr w:type="spellStart"/>
      <w:r w:rsidRPr="001169F6">
        <w:t>InCommon</w:t>
      </w:r>
      <w:proofErr w:type="spellEnd"/>
      <w:r w:rsidRPr="001169F6">
        <w:t xml:space="preserve"> Participants can hold each other accountable for meeting these expectations, and to establish rough consensus on how these expectations should be observed in specific operational circumstances.</w:t>
      </w:r>
    </w:p>
    <w:p w14:paraId="3E86A3E0" w14:textId="083A0555" w:rsidR="001169F6" w:rsidRPr="001169F6" w:rsidRDefault="001169F6" w:rsidP="002B5D8D">
      <w:r w:rsidRPr="001169F6">
        <w:t xml:space="preserve">The processes defined below fall into several categories. Some are mostly automated processes undertaken by </w:t>
      </w:r>
      <w:proofErr w:type="spellStart"/>
      <w:r w:rsidRPr="001169F6">
        <w:t>InCommon</w:t>
      </w:r>
      <w:proofErr w:type="spellEnd"/>
      <w:r w:rsidRPr="001169F6">
        <w:t xml:space="preserve"> that are designed to help Participants keep their federation metadata aligned with Baseline Expectations. Another defines a process by which a specific Participant’s practice can be assessed against Baseline Expectations and any needed mitigation agreed by peers.</w:t>
      </w:r>
    </w:p>
    <w:p w14:paraId="4E499FAA" w14:textId="4B18E19F" w:rsidR="001169F6" w:rsidRPr="001169F6" w:rsidRDefault="001169F6" w:rsidP="002B5D8D">
      <w:r w:rsidRPr="001169F6">
        <w:t>These processes all aim to help Participants understand when and how they deviate from meeting Baseline Expectations and provide help to get them back on track. But in the worst case, when a federation entity is not meeting expectations and no remedial course of action is available, the entity is altered or removed from federation metadata</w:t>
      </w:r>
      <w:r w:rsidR="00A66C7D">
        <w:t>. The recommendation to do so comes from t</w:t>
      </w:r>
      <w:r w:rsidRPr="001169F6">
        <w:t xml:space="preserve">he </w:t>
      </w:r>
      <w:proofErr w:type="spellStart"/>
      <w:r w:rsidRPr="001169F6">
        <w:t>InCommon</w:t>
      </w:r>
      <w:proofErr w:type="spellEnd"/>
      <w:r w:rsidRPr="001169F6">
        <w:t xml:space="preserve"> Community Trust and Assurance Board (CTAB)</w:t>
      </w:r>
      <w:r w:rsidR="00A66C7D">
        <w:t xml:space="preserve"> and must be approved </w:t>
      </w:r>
      <w:r w:rsidRPr="001169F6">
        <w:t xml:space="preserve">by the </w:t>
      </w:r>
      <w:proofErr w:type="spellStart"/>
      <w:r w:rsidRPr="001169F6">
        <w:t>InCommon</w:t>
      </w:r>
      <w:proofErr w:type="spellEnd"/>
      <w:r w:rsidRPr="001169F6">
        <w:t xml:space="preserve"> Steering Committee under authority given it by the Participation Agreement (PA) and in accord with </w:t>
      </w:r>
      <w:proofErr w:type="spellStart"/>
      <w:r w:rsidRPr="001169F6">
        <w:t>InCommon’s</w:t>
      </w:r>
      <w:proofErr w:type="spellEnd"/>
      <w:r w:rsidRPr="001169F6">
        <w:t xml:space="preserve"> Federation Operating Policies and Practices (FOPP). </w:t>
      </w:r>
    </w:p>
    <w:p w14:paraId="797F2E0C" w14:textId="77777777" w:rsidR="001169F6" w:rsidRPr="001169F6" w:rsidRDefault="001169F6" w:rsidP="002B5D8D">
      <w:r w:rsidRPr="001169F6">
        <w:t xml:space="preserve">The overall result of operating these processes is that all </w:t>
      </w:r>
      <w:proofErr w:type="spellStart"/>
      <w:r w:rsidRPr="001169F6">
        <w:t>InCommon</w:t>
      </w:r>
      <w:proofErr w:type="spellEnd"/>
      <w:r w:rsidRPr="001169F6">
        <w:t xml:space="preserve"> entities meet Baseline Expectations - not 100% perfectly 100% of the time, but variances are diligently identified and corrected in a reasonable period of time.</w:t>
      </w:r>
    </w:p>
    <w:p w14:paraId="5756B406" w14:textId="4879CF0F" w:rsidR="00A0301E" w:rsidRPr="00A0301E" w:rsidRDefault="00A0301E" w:rsidP="00A0301E">
      <w:pPr>
        <w:spacing w:before="100" w:beforeAutospacing="1" w:after="100" w:afterAutospacing="1" w:line="240" w:lineRule="auto"/>
        <w:rPr>
          <w:rFonts w:eastAsia="Times New Roman" w:cstheme="minorHAnsi"/>
          <w:color w:val="auto"/>
          <w:szCs w:val="24"/>
          <w:lang w:eastAsia="en-US"/>
        </w:rPr>
      </w:pPr>
      <w:r w:rsidRPr="00A0301E">
        <w:rPr>
          <w:rFonts w:eastAsia="Times New Roman" w:cstheme="minorHAnsi"/>
          <w:color w:val="auto"/>
          <w:szCs w:val="24"/>
          <w:lang w:eastAsia="en-US"/>
        </w:rPr>
        <w:t xml:space="preserve"> </w:t>
      </w:r>
    </w:p>
    <w:p w14:paraId="41689691" w14:textId="13B75405" w:rsidR="009521BF" w:rsidRPr="000560F7" w:rsidRDefault="002B5D8D" w:rsidP="008A1B1C">
      <w:pPr>
        <w:pStyle w:val="Heading1"/>
        <w:rPr>
          <w:lang w:eastAsia="en-US"/>
        </w:rPr>
      </w:pPr>
      <w:bookmarkStart w:id="2" w:name="_Toc506378251"/>
      <w:r w:rsidRPr="008A1B1C">
        <w:lastRenderedPageBreak/>
        <w:t>Community</w:t>
      </w:r>
      <w:r>
        <w:rPr>
          <w:lang w:eastAsia="en-US"/>
        </w:rPr>
        <w:t xml:space="preserve"> Dispute Resolution Process</w:t>
      </w:r>
      <w:bookmarkEnd w:id="2"/>
    </w:p>
    <w:p w14:paraId="285E84D0" w14:textId="1C702CEB" w:rsidR="002B5D8D" w:rsidRDefault="002B5D8D" w:rsidP="002B5D8D">
      <w:r>
        <w:t xml:space="preserve">The Community Dispute Resolution Process is used to address concerns that may arise about some aspect of an entity’s operation from the perspective of meeting Baseline Expectations. This process is one means of fulfilling the requirements of the Dispute Resolution Procedure defined in Section 8 of the FOPP. Items that can be automatically checked or verified are detailed in Appendix A and supported by </w:t>
      </w:r>
      <w:proofErr w:type="spellStart"/>
      <w:r>
        <w:t>InCommon</w:t>
      </w:r>
      <w:proofErr w:type="spellEnd"/>
      <w:r>
        <w:t xml:space="preserve"> to ensure accuracy of metadata in conformance with Baseline Expectations. </w:t>
      </w:r>
    </w:p>
    <w:p w14:paraId="4D19D5BC" w14:textId="77777777" w:rsidR="002B5D8D" w:rsidRDefault="002B5D8D" w:rsidP="002B5D8D">
      <w:r>
        <w:t xml:space="preserve">Dispute resolution proceeds by stages, using an informal and lightweight method at first, and progressing to further formality and rigor only if needed. </w:t>
      </w:r>
    </w:p>
    <w:p w14:paraId="732973A5" w14:textId="77777777" w:rsidR="002B5D8D" w:rsidRDefault="002B5D8D" w:rsidP="002B5D8D">
      <w:pPr>
        <w:pStyle w:val="Heading3"/>
        <w:rPr>
          <w:color w:val="000000"/>
        </w:rPr>
      </w:pPr>
      <w:bookmarkStart w:id="3" w:name="_Toc506378252"/>
      <w:r>
        <w:t>First Stage</w:t>
      </w:r>
      <w:bookmarkEnd w:id="3"/>
    </w:p>
    <w:p w14:paraId="184685CB" w14:textId="77777777" w:rsidR="002B5D8D" w:rsidRDefault="002B5D8D" w:rsidP="002B5D8D">
      <w:r>
        <w:t xml:space="preserve">When a Concerned Party believes they have noticed something about a Participant’s operation that may not meet Baseline Expectations, they should use published contact information to try to resolve the concern with the Participant informally and directly. </w:t>
      </w:r>
      <w:proofErr w:type="spellStart"/>
      <w:r>
        <w:t>InCommon</w:t>
      </w:r>
      <w:proofErr w:type="spellEnd"/>
      <w:r>
        <w:t xml:space="preserve"> need not be made aware of the concern or its successful resolution.</w:t>
      </w:r>
    </w:p>
    <w:p w14:paraId="6487722B" w14:textId="77777777" w:rsidR="002B5D8D" w:rsidRPr="002B5D8D" w:rsidRDefault="002B5D8D" w:rsidP="002B5D8D">
      <w:pPr>
        <w:pStyle w:val="Heading3"/>
      </w:pPr>
      <w:bookmarkStart w:id="4" w:name="_Toc506378253"/>
      <w:r w:rsidRPr="002B5D8D">
        <w:t>Second Stage</w:t>
      </w:r>
      <w:bookmarkEnd w:id="4"/>
    </w:p>
    <w:p w14:paraId="4CB37FC9" w14:textId="7B1F1B6A" w:rsidR="002B5D8D" w:rsidRDefault="002B5D8D" w:rsidP="002B5D8D">
      <w:r>
        <w:t xml:space="preserve">If the First Stage does not produce a successful resolution, the Concerned Party may elect to email </w:t>
      </w:r>
      <w:proofErr w:type="spellStart"/>
      <w:r>
        <w:t>InCommon</w:t>
      </w:r>
      <w:proofErr w:type="spellEnd"/>
      <w:r>
        <w:t xml:space="preserve"> (admin@incommon.org) with a description of the concern and request that </w:t>
      </w:r>
      <w:proofErr w:type="spellStart"/>
      <w:r>
        <w:t>InCommon</w:t>
      </w:r>
      <w:proofErr w:type="spellEnd"/>
      <w:r>
        <w:t xml:space="preserve"> address the concern with the Participant. </w:t>
      </w:r>
      <w:proofErr w:type="spellStart"/>
      <w:r>
        <w:t>InCommon</w:t>
      </w:r>
      <w:proofErr w:type="spellEnd"/>
      <w:r>
        <w:t xml:space="preserve"> staff make an initial determination if the concern relates to meeting Baseline Expectations or if it should be treated as a security incident, in which case the </w:t>
      </w:r>
      <w:proofErr w:type="spellStart"/>
      <w:r>
        <w:t>InCommon</w:t>
      </w:r>
      <w:proofErr w:type="spellEnd"/>
      <w:r>
        <w:t xml:space="preserve"> Computer Security Incident Response Team will be </w:t>
      </w:r>
      <w:proofErr w:type="gramStart"/>
      <w:r>
        <w:t>notified</w:t>
      </w:r>
      <w:proofErr w:type="gramEnd"/>
      <w:r>
        <w:t xml:space="preserve"> and the issue will be tracked according to that process. If neither, they reply to the Concerned Party to that effect and try to advise an alternate course to address their concern.</w:t>
      </w:r>
    </w:p>
    <w:p w14:paraId="1D3A19FD" w14:textId="77777777" w:rsidR="002B5D8D" w:rsidRDefault="002B5D8D" w:rsidP="002B5D8D">
      <w:r>
        <w:t xml:space="preserve">If the concern relates to meeting Baseline Expectations, </w:t>
      </w:r>
      <w:proofErr w:type="spellStart"/>
      <w:r>
        <w:t>InCommon</w:t>
      </w:r>
      <w:proofErr w:type="spellEnd"/>
      <w:r>
        <w:t xml:space="preserve"> opens a ticket to track this matter. The ticket records details such as description of concern, dates, concerned parties and their contact info. </w:t>
      </w:r>
      <w:proofErr w:type="spellStart"/>
      <w:r>
        <w:t>InCommon</w:t>
      </w:r>
      <w:proofErr w:type="spellEnd"/>
      <w:r>
        <w:t xml:space="preserve"> staff contact the Participant and a Registered Contact from the Concerned Party’s member organization to bring the concern to their attention and requests that the Participant try to resolve the matter directly with the Concerned Party. If </w:t>
      </w:r>
      <w:r>
        <w:lastRenderedPageBreak/>
        <w:t xml:space="preserve">Participant agrees to this, </w:t>
      </w:r>
      <w:proofErr w:type="spellStart"/>
      <w:r>
        <w:t>InCommon</w:t>
      </w:r>
      <w:proofErr w:type="spellEnd"/>
      <w:r>
        <w:t xml:space="preserve"> Support updates the ticket accordingly and periodically checks with the Concerned Party and with the Participant to see if the matter is being addressed to their mutual satisfaction. This stage continues until either both parties agree that the matter is resolved, or either party wishes to use the Third Stage to continue addressing the concern. </w:t>
      </w:r>
    </w:p>
    <w:p w14:paraId="5903BBD3" w14:textId="77777777" w:rsidR="002B5D8D" w:rsidRDefault="002B5D8D" w:rsidP="002B5D8D">
      <w:pPr>
        <w:pStyle w:val="Heading3"/>
        <w:rPr>
          <w:color w:val="000000"/>
        </w:rPr>
      </w:pPr>
      <w:bookmarkStart w:id="5" w:name="_Toc506378254"/>
      <w:r>
        <w:t>Third Stage</w:t>
      </w:r>
      <w:bookmarkEnd w:id="5"/>
    </w:p>
    <w:p w14:paraId="41F3D1D4" w14:textId="6F766B68" w:rsidR="002B5D8D" w:rsidRDefault="002B5D8D" w:rsidP="002B5D8D">
      <w:proofErr w:type="spellStart"/>
      <w:r>
        <w:t>InCommon</w:t>
      </w:r>
      <w:proofErr w:type="spellEnd"/>
      <w:r>
        <w:t xml:space="preserve"> staff notify the CTAB of the concern and provide the ticket. CTAB makes an initial determination if the concern relates to meeting Baseline Expectations. If not, it passes the ticket back to </w:t>
      </w:r>
      <w:proofErr w:type="spellStart"/>
      <w:r>
        <w:t>InCommon</w:t>
      </w:r>
      <w:proofErr w:type="spellEnd"/>
      <w:r>
        <w:t xml:space="preserve"> staff to reply to the Concerned Party, as in the Second Stage. Otherwise the matter is added to the CTAB’s Docket. A summary of matters pending in the Docket is maintained in the Baseline Expectations website. Each docketed matter is processed as follows.</w:t>
      </w:r>
    </w:p>
    <w:p w14:paraId="522BA6E3" w14:textId="0B9B02B1" w:rsidR="002B5D8D" w:rsidRDefault="002B5D8D" w:rsidP="002B5D8D">
      <w:r>
        <w:t xml:space="preserve">CTAB notifies Participant of its intent to formally review the concern on behalf of the </w:t>
      </w:r>
      <w:proofErr w:type="spellStart"/>
      <w:r>
        <w:t>InCommon</w:t>
      </w:r>
      <w:proofErr w:type="spellEnd"/>
      <w:r>
        <w:t xml:space="preserve"> community, describes what is expected of the Participant and cycle times of the review process, and requests a reply that explains either why the matter of concern does not contradict Baseline Expectations, or a plan to satisfactorily mitigate the basis for the concern. In parallel, CTAB empanels a Review Board, if one is not already empaneled, by selecting </w:t>
      </w:r>
      <w:r>
        <w:rPr>
          <w:color w:val="262626"/>
        </w:rPr>
        <w:t>at random 3 peer reviewers from the set of Technical or Security contacts (depending on the nature of the concern) and 1 peer reviewer from the set of Executive Contacts</w:t>
      </w:r>
      <w:r>
        <w:t xml:space="preserve"> or Participant senior IT management and invites them to participate in this review. Process continues until a Review Board of 4 panelists is assembled. CTAB + Review Board reviews materials submitted by Participant, further engages with the Participant or Concerned Party as they may wish to better understand the matter or to help Participant understand whether their proposed mitigation will be satisfactory.</w:t>
      </w:r>
    </w:p>
    <w:p w14:paraId="0711C795" w14:textId="62162F50" w:rsidR="002B5D8D" w:rsidRDefault="002B5D8D" w:rsidP="002B5D8D">
      <w:r>
        <w:t xml:space="preserve">If in the sole judgment of CTAB + Review Board this process results, within 2 months, in either vacating of the concern by the Concerned Party or agreement by Participant to implement a satisfactory mitigation in a reasonable time frame, the Docket is updated accordingly, </w:t>
      </w:r>
      <w:proofErr w:type="spellStart"/>
      <w:r>
        <w:t>InCommon</w:t>
      </w:r>
      <w:proofErr w:type="spellEnd"/>
      <w:r>
        <w:t xml:space="preserve"> is asked to update the ticket accordingly, and </w:t>
      </w:r>
      <w:proofErr w:type="spellStart"/>
      <w:r>
        <w:t>InCommon</w:t>
      </w:r>
      <w:proofErr w:type="spellEnd"/>
      <w:r>
        <w:t xml:space="preserve"> staff requests Participant to notify it when implementation is complete. </w:t>
      </w:r>
    </w:p>
    <w:p w14:paraId="4F6BDA1E" w14:textId="558F885A" w:rsidR="002B5D8D" w:rsidRDefault="002B5D8D" w:rsidP="002B5D8D">
      <w:r>
        <w:lastRenderedPageBreak/>
        <w:t xml:space="preserve">If notification occurs within the agreed time frame, the ticket is updated with this information and then closed. If not, </w:t>
      </w:r>
      <w:proofErr w:type="spellStart"/>
      <w:r>
        <w:t>InCommon</w:t>
      </w:r>
      <w:proofErr w:type="spellEnd"/>
      <w:r>
        <w:t xml:space="preserve"> staff contacts the Participant to confirm whether the implementation has occurred. </w:t>
      </w:r>
    </w:p>
    <w:p w14:paraId="2798EA24" w14:textId="1B35FE50" w:rsidR="002B5D8D" w:rsidRDefault="002B5D8D" w:rsidP="002B5D8D">
      <w:r>
        <w:t xml:space="preserve">If implementation of the agreed mitigation has not been completed, or if it is not imminent, </w:t>
      </w:r>
      <w:proofErr w:type="spellStart"/>
      <w:r>
        <w:t>InCommon</w:t>
      </w:r>
      <w:proofErr w:type="spellEnd"/>
      <w:r>
        <w:t xml:space="preserve"> staff notify CTAB of the lack of agreed implementation. CTAB updates the Docket to reflect this status, as does </w:t>
      </w:r>
      <w:proofErr w:type="spellStart"/>
      <w:r>
        <w:t>InCommon</w:t>
      </w:r>
      <w:proofErr w:type="spellEnd"/>
      <w:r>
        <w:t xml:space="preserve"> the ticket. The matter is referred to </w:t>
      </w:r>
      <w:proofErr w:type="spellStart"/>
      <w:r>
        <w:t>InCommon</w:t>
      </w:r>
      <w:proofErr w:type="spellEnd"/>
      <w:r>
        <w:t xml:space="preserve"> Steering with a recommendation to remove the concerned entity or entity attribute(s) from federation metadata until such time as the Participant demonstrates implementation of the agreed mitigation or otherwise demonstrates that the entity meets Baseline Expectations. This is solely judged by the CTAB. If the </w:t>
      </w:r>
      <w:proofErr w:type="spellStart"/>
      <w:r>
        <w:t>InCommon</w:t>
      </w:r>
      <w:proofErr w:type="spellEnd"/>
      <w:r>
        <w:t xml:space="preserve"> Steering Committee accepts CTAB’s recommendation, the Process to Notify </w:t>
      </w:r>
      <w:proofErr w:type="spellStart"/>
      <w:r>
        <w:t>InCommon</w:t>
      </w:r>
      <w:proofErr w:type="spellEnd"/>
      <w:r>
        <w:t xml:space="preserve"> Community of Intent to Alter Participant Metadata is followed. If the Steering Committee doesn’t accept the recommendation, record the reason in the ticket and close it.</w:t>
      </w:r>
    </w:p>
    <w:p w14:paraId="305B306F" w14:textId="47D60C3F" w:rsidR="002B5D8D" w:rsidRDefault="002B5D8D" w:rsidP="002B5D8D">
      <w:r>
        <w:t>A Review Board is empaneled for a four-month period, participates in any Third Stage matters in the Docket during this period, and then is discharged.</w:t>
      </w:r>
    </w:p>
    <w:p w14:paraId="79A095A4" w14:textId="60318C5D" w:rsidR="002B5D8D" w:rsidRDefault="002B5D8D" w:rsidP="002B5D8D">
      <w:pPr>
        <w:autoSpaceDE w:val="0"/>
        <w:autoSpaceDN w:val="0"/>
        <w:adjustRightInd w:val="0"/>
        <w:spacing w:after="0" w:line="240" w:lineRule="auto"/>
        <w:rPr>
          <w:rFonts w:ascii="Arial" w:hAnsi="Arial" w:cs="Arial"/>
          <w:color w:val="000000"/>
          <w:szCs w:val="24"/>
        </w:rPr>
      </w:pPr>
    </w:p>
    <w:p w14:paraId="1F46FC79" w14:textId="77777777" w:rsidR="002B5D8D" w:rsidRDefault="002B5D8D" w:rsidP="002B5D8D">
      <w:pPr>
        <w:pStyle w:val="Heading1"/>
        <w:rPr>
          <w:rFonts w:ascii="Times" w:hAnsi="Times" w:cs="Times"/>
          <w:sz w:val="36"/>
          <w:szCs w:val="36"/>
        </w:rPr>
      </w:pPr>
      <w:bookmarkStart w:id="6" w:name="_Toc506378255"/>
      <w:r>
        <w:lastRenderedPageBreak/>
        <w:t>On-Going Federation Operational Processes</w:t>
      </w:r>
      <w:bookmarkEnd w:id="6"/>
    </w:p>
    <w:p w14:paraId="015074D8" w14:textId="77777777" w:rsidR="002B5D8D" w:rsidRDefault="002B5D8D" w:rsidP="002B5D8D">
      <w:pPr>
        <w:rPr>
          <w:rFonts w:ascii="Times" w:hAnsi="Times" w:cs="Times"/>
          <w:szCs w:val="24"/>
        </w:rPr>
      </w:pPr>
      <w:r>
        <w:t xml:space="preserve">As a Federation Operator adhering to Baseline Expectations, </w:t>
      </w:r>
      <w:proofErr w:type="spellStart"/>
      <w:r>
        <w:t>InCommon</w:t>
      </w:r>
      <w:proofErr w:type="spellEnd"/>
      <w:r>
        <w:t xml:space="preserve"> implements several processes to ensure that Participants’ federation metadata is accurate. These help address the Baseline Expectation of </w:t>
      </w:r>
      <w:proofErr w:type="spellStart"/>
      <w:r>
        <w:t>IdPs</w:t>
      </w:r>
      <w:proofErr w:type="spellEnd"/>
      <w:r>
        <w:t xml:space="preserve"> and of SPs that “Federation metadata is accurate, complete, and includes site technical, admin, and security contacts, MDUI information, and privacy policy URL”, and also partially fulfill the Baseline Expectations of “Focus on trustworthiness of their Federation as a primary objective and be transparent about such efforts”, and “Good practices are followed to ensure accuracy and authenticity of metadata to enable secure and trustworthy federated transactions”. For more information on this process, see Appendix A.</w:t>
      </w:r>
    </w:p>
    <w:p w14:paraId="069F2F81" w14:textId="77777777" w:rsidR="002B5D8D" w:rsidRPr="004D7726" w:rsidRDefault="002B5D8D" w:rsidP="004D7726">
      <w:pPr>
        <w:pStyle w:val="Heading3"/>
      </w:pPr>
      <w:bookmarkStart w:id="7" w:name="_Toc506378256"/>
      <w:r w:rsidRPr="004D7726">
        <w:t xml:space="preserve">Process to Notify </w:t>
      </w:r>
      <w:proofErr w:type="spellStart"/>
      <w:r w:rsidRPr="004D7726">
        <w:t>InCommon</w:t>
      </w:r>
      <w:proofErr w:type="spellEnd"/>
      <w:r w:rsidRPr="004D7726">
        <w:t xml:space="preserve"> Community of Intent to Alter Participant Metadata</w:t>
      </w:r>
      <w:bookmarkEnd w:id="7"/>
    </w:p>
    <w:p w14:paraId="01900AC9" w14:textId="10B41E76" w:rsidR="002B5D8D" w:rsidRDefault="002B5D8D" w:rsidP="002B5D8D">
      <w:pPr>
        <w:rPr>
          <w:rFonts w:ascii="Times" w:hAnsi="Times" w:cs="Times"/>
          <w:szCs w:val="24"/>
        </w:rPr>
      </w:pPr>
      <w:r>
        <w:t xml:space="preserve">This process is followed when </w:t>
      </w:r>
      <w:proofErr w:type="spellStart"/>
      <w:r>
        <w:t>InCommon</w:t>
      </w:r>
      <w:proofErr w:type="spellEnd"/>
      <w:r>
        <w:t xml:space="preserve"> is required to remove or alter Participants’ metadata as the last step in two of the processes described in this document, as noted below. Changes to metadata necessitated by response to a security incident are handled through the </w:t>
      </w:r>
      <w:proofErr w:type="spellStart"/>
      <w:r>
        <w:t>InCommon</w:t>
      </w:r>
      <w:proofErr w:type="spellEnd"/>
      <w:r>
        <w:t xml:space="preserve"> Security Incident Handling Framework.</w:t>
      </w:r>
    </w:p>
    <w:p w14:paraId="5C8EEB28" w14:textId="42FE228B" w:rsidR="002B5D8D" w:rsidRDefault="002B5D8D" w:rsidP="002B5D8D">
      <w:pPr>
        <w:rPr>
          <w:rFonts w:ascii="Times" w:hAnsi="Times" w:cs="Times"/>
          <w:szCs w:val="24"/>
        </w:rPr>
      </w:pPr>
      <w:proofErr w:type="spellStart"/>
      <w:r>
        <w:t>InCommon</w:t>
      </w:r>
      <w:proofErr w:type="spellEnd"/>
      <w:r>
        <w:t xml:space="preserve"> will use this process under the following circumstances as a last attempt to notify a Participant organization of an identity provider or service provider that does not meet Baseline Expectations and that the entity will be altered or removed from </w:t>
      </w:r>
      <w:proofErr w:type="spellStart"/>
      <w:r>
        <w:t>InCommon</w:t>
      </w:r>
      <w:proofErr w:type="spellEnd"/>
      <w:r>
        <w:t xml:space="preserve"> metadata: </w:t>
      </w:r>
    </w:p>
    <w:p w14:paraId="71E04DD9" w14:textId="77777777" w:rsidR="002B5D8D" w:rsidRDefault="002B5D8D" w:rsidP="002B5D8D">
      <w:proofErr w:type="spellStart"/>
      <w:r>
        <w:t>InCommon</w:t>
      </w:r>
      <w:proofErr w:type="spellEnd"/>
      <w:r>
        <w:t xml:space="preserve"> metadata checking, as described in Appendix A, has failed to elicit a required correction by the Participant to its entity metadata. </w:t>
      </w:r>
      <w:r>
        <w:rPr>
          <w:rFonts w:ascii="MS Gothic" w:eastAsia="MS Gothic" w:hAnsi="MS Gothic" w:cs="MS Gothic" w:hint="eastAsia"/>
        </w:rPr>
        <w:t> </w:t>
      </w:r>
    </w:p>
    <w:p w14:paraId="2D2640D0" w14:textId="1E7E330D" w:rsidR="002B5D8D" w:rsidRDefault="002B5D8D" w:rsidP="004D7726">
      <w:r>
        <w:t xml:space="preserve">The </w:t>
      </w:r>
      <w:proofErr w:type="spellStart"/>
      <w:r>
        <w:t>InCommon</w:t>
      </w:r>
      <w:proofErr w:type="spellEnd"/>
      <w:r>
        <w:t xml:space="preserve"> Steering Committee, upon accepting the recommendation of the CTAB, given after unsuccessfully exhausting all avenues of collaborative resolution of a Baseline Expectations concern raised by a federation member, authorizes </w:t>
      </w:r>
      <w:proofErr w:type="spellStart"/>
      <w:r>
        <w:t>InCommon</w:t>
      </w:r>
      <w:proofErr w:type="spellEnd"/>
      <w:r>
        <w:t xml:space="preserve"> to take this step towards altering federation metadata to remove </w:t>
      </w:r>
      <w:r w:rsidR="004D7726">
        <w:t>or alter the identified entity.</w:t>
      </w:r>
    </w:p>
    <w:p w14:paraId="6A7940FA" w14:textId="77777777" w:rsidR="004D7726" w:rsidRPr="004D7726" w:rsidRDefault="004D7726" w:rsidP="004D7726"/>
    <w:p w14:paraId="2F914507" w14:textId="77777777" w:rsidR="002B5D8D" w:rsidRDefault="002B5D8D" w:rsidP="002B5D8D">
      <w:pPr>
        <w:autoSpaceDE w:val="0"/>
        <w:autoSpaceDN w:val="0"/>
        <w:adjustRightInd w:val="0"/>
        <w:spacing w:after="0" w:line="240" w:lineRule="auto"/>
        <w:rPr>
          <w:rFonts w:ascii="Times" w:hAnsi="Times" w:cs="Times"/>
          <w:color w:val="000000"/>
          <w:szCs w:val="24"/>
        </w:rPr>
      </w:pPr>
      <w:r>
        <w:rPr>
          <w:rFonts w:ascii="Arial" w:hAnsi="Arial" w:cs="Arial"/>
          <w:b/>
          <w:bCs/>
          <w:color w:val="000000"/>
          <w:sz w:val="29"/>
          <w:szCs w:val="29"/>
        </w:rPr>
        <w:lastRenderedPageBreak/>
        <w:t>Process</w:t>
      </w:r>
    </w:p>
    <w:p w14:paraId="7311F2BC" w14:textId="77777777" w:rsidR="002B5D8D" w:rsidRDefault="002B5D8D" w:rsidP="002B5D8D">
      <w:pPr>
        <w:autoSpaceDE w:val="0"/>
        <w:autoSpaceDN w:val="0"/>
        <w:adjustRightInd w:val="0"/>
        <w:spacing w:after="0" w:line="240" w:lineRule="auto"/>
        <w:rPr>
          <w:rFonts w:ascii="Times" w:hAnsi="Times" w:cs="Times"/>
          <w:color w:val="000000"/>
          <w:szCs w:val="24"/>
        </w:rPr>
      </w:pPr>
    </w:p>
    <w:p w14:paraId="129A044B" w14:textId="77777777" w:rsidR="002B5D8D" w:rsidRPr="002B5D8D" w:rsidRDefault="002B5D8D" w:rsidP="00F51233">
      <w:pPr>
        <w:pStyle w:val="ListParagraph"/>
        <w:numPr>
          <w:ilvl w:val="0"/>
          <w:numId w:val="4"/>
        </w:numPr>
        <w:spacing w:after="120" w:line="276" w:lineRule="auto"/>
        <w:contextualSpacing w:val="0"/>
      </w:pPr>
      <w:proofErr w:type="spellStart"/>
      <w:r w:rsidRPr="002B5D8D">
        <w:t>InCommon</w:t>
      </w:r>
      <w:proofErr w:type="spellEnd"/>
      <w:r w:rsidRPr="002B5D8D">
        <w:t xml:space="preserve"> updates the CTAB’s Docket (in circumstance #2) or adds to the Docket (in circumstance #1) describing why this entity has arrived at this process, e.g., non-responsive to Error URL being corrected.</w:t>
      </w:r>
      <w:r w:rsidRPr="002B5D8D">
        <w:rPr>
          <w:rFonts w:ascii="MS Gothic" w:eastAsia="MS Gothic" w:hAnsi="MS Gothic" w:cs="MS Gothic" w:hint="eastAsia"/>
        </w:rPr>
        <w:t> </w:t>
      </w:r>
    </w:p>
    <w:p w14:paraId="39A37D99" w14:textId="77777777" w:rsidR="002B5D8D" w:rsidRPr="002B5D8D" w:rsidRDefault="002B5D8D" w:rsidP="00F51233">
      <w:pPr>
        <w:pStyle w:val="ListParagraph"/>
        <w:numPr>
          <w:ilvl w:val="0"/>
          <w:numId w:val="4"/>
        </w:numPr>
        <w:spacing w:after="120" w:line="276" w:lineRule="auto"/>
        <w:contextualSpacing w:val="0"/>
      </w:pPr>
      <w:r w:rsidRPr="002B5D8D">
        <w:t>The VP or AVP for Trust &amp; Identity personally messages the Executive Contact at the Participant to notify them of the status of their identity or service provider under concern.</w:t>
      </w:r>
      <w:r w:rsidRPr="002B5D8D">
        <w:rPr>
          <w:rFonts w:ascii="MS Gothic" w:eastAsia="MS Gothic" w:hAnsi="MS Gothic" w:cs="MS Gothic" w:hint="eastAsia"/>
        </w:rPr>
        <w:t> </w:t>
      </w:r>
    </w:p>
    <w:p w14:paraId="501633F1" w14:textId="77777777" w:rsidR="002B5D8D" w:rsidRPr="002B5D8D" w:rsidRDefault="002B5D8D" w:rsidP="00F51233">
      <w:pPr>
        <w:pStyle w:val="ListParagraph"/>
        <w:numPr>
          <w:ilvl w:val="0"/>
          <w:numId w:val="4"/>
        </w:numPr>
        <w:spacing w:after="120" w:line="276" w:lineRule="auto"/>
        <w:contextualSpacing w:val="0"/>
      </w:pPr>
      <w:r w:rsidRPr="002B5D8D">
        <w:t xml:space="preserve">The Docket is published in the </w:t>
      </w:r>
      <w:proofErr w:type="spellStart"/>
      <w:r w:rsidRPr="002B5D8D">
        <w:t>InCommon</w:t>
      </w:r>
      <w:proofErr w:type="spellEnd"/>
      <w:r w:rsidRPr="002B5D8D">
        <w:t xml:space="preserve"> Newsletter monthly along with contact information to enable other parties the opportunity to speak up or make any corresponding changes, and functions as Last Call to the concerned Participant before their entity’s metadata is removed or altered.</w:t>
      </w:r>
      <w:r w:rsidRPr="002B5D8D">
        <w:rPr>
          <w:rFonts w:ascii="MS Gothic" w:eastAsia="MS Gothic" w:hAnsi="MS Gothic" w:cs="MS Gothic" w:hint="eastAsia"/>
        </w:rPr>
        <w:t> </w:t>
      </w:r>
    </w:p>
    <w:p w14:paraId="7ED38AD3" w14:textId="77777777" w:rsidR="002B5D8D" w:rsidRPr="002B5D8D" w:rsidRDefault="002B5D8D" w:rsidP="00F51233">
      <w:pPr>
        <w:pStyle w:val="ListParagraph"/>
        <w:numPr>
          <w:ilvl w:val="0"/>
          <w:numId w:val="4"/>
        </w:numPr>
        <w:spacing w:after="120" w:line="276" w:lineRule="auto"/>
        <w:contextualSpacing w:val="0"/>
      </w:pPr>
      <w:r w:rsidRPr="002B5D8D">
        <w:t>If the issue has not been addressed within 30 days of the newsletter having been distributed, the entity will be removed or altered as authorized.</w:t>
      </w:r>
      <w:r w:rsidRPr="002B5D8D">
        <w:rPr>
          <w:rFonts w:ascii="MS Gothic" w:eastAsia="MS Gothic" w:hAnsi="MS Gothic" w:cs="MS Gothic" w:hint="eastAsia"/>
        </w:rPr>
        <w:t> </w:t>
      </w:r>
    </w:p>
    <w:p w14:paraId="1481BE89" w14:textId="77777777" w:rsidR="002B5D8D" w:rsidRPr="002B5D8D" w:rsidRDefault="002B5D8D" w:rsidP="002B5D8D">
      <w:pPr>
        <w:autoSpaceDE w:val="0"/>
        <w:autoSpaceDN w:val="0"/>
        <w:adjustRightInd w:val="0"/>
        <w:spacing w:after="0" w:line="240" w:lineRule="auto"/>
        <w:rPr>
          <w:rFonts w:cstheme="minorHAnsi"/>
          <w:color w:val="000000"/>
          <w:szCs w:val="24"/>
        </w:rPr>
      </w:pPr>
    </w:p>
    <w:p w14:paraId="5077473D" w14:textId="77777777" w:rsidR="002B5D8D" w:rsidRPr="002B5D8D" w:rsidRDefault="002B5D8D" w:rsidP="002B5D8D">
      <w:proofErr w:type="spellStart"/>
      <w:r w:rsidRPr="002B5D8D">
        <w:t>InCommon</w:t>
      </w:r>
      <w:proofErr w:type="spellEnd"/>
      <w:r w:rsidRPr="002B5D8D">
        <w:t xml:space="preserve"> will ensure that appropriate controls are in place to mitigate the possibility of an unauthorized reinstatement of an entity altered or removed by this process.</w:t>
      </w:r>
    </w:p>
    <w:p w14:paraId="0AF4D537" w14:textId="7C2B01BC" w:rsidR="002B5D8D" w:rsidRPr="002B5D8D" w:rsidRDefault="002B5D8D" w:rsidP="002B5D8D">
      <w:pPr>
        <w:pStyle w:val="Heading1"/>
      </w:pPr>
      <w:bookmarkStart w:id="8" w:name="_Toc506378257"/>
      <w:r w:rsidRPr="002B5D8D">
        <w:lastRenderedPageBreak/>
        <w:t>Reinstatement</w:t>
      </w:r>
      <w:bookmarkEnd w:id="8"/>
    </w:p>
    <w:p w14:paraId="6DA46197" w14:textId="77777777" w:rsidR="002B5D8D" w:rsidRDefault="002B5D8D" w:rsidP="002B5D8D">
      <w:pPr>
        <w:rPr>
          <w:rFonts w:ascii="Times" w:hAnsi="Times" w:cs="Times"/>
          <w:szCs w:val="24"/>
        </w:rPr>
      </w:pPr>
      <w:r>
        <w:t xml:space="preserve">An entity that was removed or altered per the above process can be reinstated to </w:t>
      </w:r>
      <w:proofErr w:type="spellStart"/>
      <w:r>
        <w:t>InCommon</w:t>
      </w:r>
      <w:proofErr w:type="spellEnd"/>
      <w:r>
        <w:t xml:space="preserve"> metadata as follows.</w:t>
      </w:r>
    </w:p>
    <w:p w14:paraId="0E9439A8" w14:textId="77777777" w:rsidR="002B5D8D" w:rsidRDefault="002B5D8D" w:rsidP="00F51233">
      <w:pPr>
        <w:pStyle w:val="ListParagraph"/>
        <w:numPr>
          <w:ilvl w:val="0"/>
          <w:numId w:val="5"/>
        </w:numPr>
        <w:spacing w:after="120"/>
        <w:contextualSpacing w:val="0"/>
      </w:pPr>
      <w:r>
        <w:t xml:space="preserve">If the entity was altered or removed by the processes defined in Appendix A, then </w:t>
      </w:r>
      <w:r w:rsidRPr="002B5D8D">
        <w:rPr>
          <w:rFonts w:ascii="MS Gothic" w:eastAsia="MS Gothic" w:hAnsi="MS Gothic" w:cs="MS Gothic" w:hint="eastAsia"/>
        </w:rPr>
        <w:t> </w:t>
      </w:r>
    </w:p>
    <w:p w14:paraId="677488D8" w14:textId="77777777" w:rsidR="002B5D8D" w:rsidRDefault="002B5D8D" w:rsidP="00F51233">
      <w:pPr>
        <w:pStyle w:val="ListParagraph"/>
        <w:numPr>
          <w:ilvl w:val="1"/>
          <w:numId w:val="5"/>
        </w:numPr>
        <w:spacing w:after="120"/>
        <w:contextualSpacing w:val="0"/>
      </w:pPr>
      <w:r>
        <w:t xml:space="preserve">Either the Participant’s Technical or Executive Contact or a Site Administrator may make a request to </w:t>
      </w:r>
      <w:proofErr w:type="spellStart"/>
      <w:r>
        <w:t>InCommon</w:t>
      </w:r>
      <w:proofErr w:type="spellEnd"/>
      <w:r>
        <w:t xml:space="preserve"> to reinstate the entity to its federation metadata. The request must contain a copy of the entity metadata proposed to be reinstated.</w:t>
      </w:r>
      <w:r w:rsidRPr="002B5D8D">
        <w:rPr>
          <w:rFonts w:ascii="MS Gothic" w:eastAsia="MS Gothic" w:hAnsi="MS Gothic" w:cs="MS Gothic" w:hint="eastAsia"/>
        </w:rPr>
        <w:t> </w:t>
      </w:r>
    </w:p>
    <w:p w14:paraId="7CB2A3C0" w14:textId="77777777" w:rsidR="002B5D8D" w:rsidRDefault="002B5D8D" w:rsidP="00F51233">
      <w:pPr>
        <w:pStyle w:val="ListParagraph"/>
        <w:numPr>
          <w:ilvl w:val="1"/>
          <w:numId w:val="5"/>
        </w:numPr>
        <w:spacing w:after="120"/>
        <w:contextualSpacing w:val="0"/>
      </w:pPr>
      <w:proofErr w:type="spellStart"/>
      <w:r>
        <w:t>InCommon</w:t>
      </w:r>
      <w:proofErr w:type="spellEnd"/>
      <w:r>
        <w:t xml:space="preserve"> staff will determine whether or not the entity metadata submitted with the request meets the criteria of the processes defined in Appendix A and reinstates the metadata if it does. Either way, this outcome will be reported on the Baseline Expectations Website.</w:t>
      </w:r>
      <w:r w:rsidRPr="002B5D8D">
        <w:rPr>
          <w:rFonts w:ascii="MS Gothic" w:eastAsia="MS Gothic" w:hAnsi="MS Gothic" w:cs="MS Gothic" w:hint="eastAsia"/>
        </w:rPr>
        <w:t> </w:t>
      </w:r>
    </w:p>
    <w:p w14:paraId="6C41026B" w14:textId="77777777" w:rsidR="002B5D8D" w:rsidRDefault="002B5D8D" w:rsidP="00F51233">
      <w:pPr>
        <w:pStyle w:val="ListParagraph"/>
        <w:numPr>
          <w:ilvl w:val="0"/>
          <w:numId w:val="5"/>
        </w:numPr>
        <w:spacing w:after="120"/>
        <w:contextualSpacing w:val="0"/>
      </w:pPr>
      <w:r>
        <w:t>If the entity was altered or removed upon the recommendation of the CTAB as the final outcome of the Community Dispute Resolution Process, then</w:t>
      </w:r>
      <w:r w:rsidRPr="002B5D8D">
        <w:rPr>
          <w:rFonts w:ascii="MS Gothic" w:eastAsia="MS Gothic" w:hAnsi="MS Gothic" w:cs="MS Gothic" w:hint="eastAsia"/>
        </w:rPr>
        <w:t> </w:t>
      </w:r>
    </w:p>
    <w:p w14:paraId="1506C4E0" w14:textId="77777777" w:rsidR="002B5D8D" w:rsidRDefault="002B5D8D" w:rsidP="00F51233">
      <w:pPr>
        <w:pStyle w:val="ListParagraph"/>
        <w:numPr>
          <w:ilvl w:val="1"/>
          <w:numId w:val="5"/>
        </w:numPr>
        <w:spacing w:after="120"/>
        <w:contextualSpacing w:val="0"/>
      </w:pPr>
      <w:r>
        <w:t xml:space="preserve">The Participant’s Executive Contact must make a request to </w:t>
      </w:r>
      <w:proofErr w:type="spellStart"/>
      <w:r>
        <w:t>InCommon</w:t>
      </w:r>
      <w:proofErr w:type="spellEnd"/>
      <w:r>
        <w:t xml:space="preserve"> to reinstate the entity to its metadata. The request must contain a description of the mitigation that was implemented to address the concern that led to its entity being altered or removed.</w:t>
      </w:r>
      <w:r w:rsidRPr="002B5D8D">
        <w:rPr>
          <w:rFonts w:ascii="MS Gothic" w:eastAsia="MS Gothic" w:hAnsi="MS Gothic" w:cs="MS Gothic" w:hint="eastAsia"/>
        </w:rPr>
        <w:t> </w:t>
      </w:r>
    </w:p>
    <w:p w14:paraId="3FBB7E8C" w14:textId="77777777" w:rsidR="002B5D8D" w:rsidRDefault="002B5D8D" w:rsidP="00F51233">
      <w:pPr>
        <w:pStyle w:val="ListParagraph"/>
        <w:numPr>
          <w:ilvl w:val="1"/>
          <w:numId w:val="5"/>
        </w:numPr>
        <w:spacing w:after="120"/>
        <w:contextualSpacing w:val="0"/>
      </w:pPr>
      <w:proofErr w:type="spellStart"/>
      <w:r>
        <w:t>InCommon</w:t>
      </w:r>
      <w:proofErr w:type="spellEnd"/>
      <w:r>
        <w:t xml:space="preserve"> will refer the request to the CTAB, who will review the mitigation and determine whether or not it results in the entity meeting Baseline Expectations.</w:t>
      </w:r>
      <w:r w:rsidRPr="002B5D8D">
        <w:rPr>
          <w:rFonts w:ascii="MS Gothic" w:eastAsia="MS Gothic" w:hAnsi="MS Gothic" w:cs="MS Gothic" w:hint="eastAsia"/>
        </w:rPr>
        <w:t> </w:t>
      </w:r>
    </w:p>
    <w:p w14:paraId="16F28B0B" w14:textId="77777777" w:rsidR="002B5D8D" w:rsidRDefault="002B5D8D" w:rsidP="00F51233">
      <w:pPr>
        <w:pStyle w:val="ListParagraph"/>
        <w:numPr>
          <w:ilvl w:val="1"/>
          <w:numId w:val="5"/>
        </w:numPr>
        <w:spacing w:after="120"/>
        <w:contextualSpacing w:val="0"/>
      </w:pPr>
      <w:r>
        <w:t xml:space="preserve">The CTAB will communicate its decision to </w:t>
      </w:r>
      <w:proofErr w:type="spellStart"/>
      <w:r>
        <w:t>InCommon</w:t>
      </w:r>
      <w:proofErr w:type="spellEnd"/>
      <w:r>
        <w:t xml:space="preserve"> staff, who will reinstate if that is the CTAB’s recommendation. Either way, this outcome will be reported on the Baseline Expectations Website.</w:t>
      </w:r>
      <w:r w:rsidRPr="002B5D8D">
        <w:rPr>
          <w:rFonts w:ascii="MS Gothic" w:eastAsia="MS Gothic" w:hAnsi="MS Gothic" w:cs="MS Gothic" w:hint="eastAsia"/>
        </w:rPr>
        <w:t> </w:t>
      </w:r>
    </w:p>
    <w:p w14:paraId="71CCD1BA" w14:textId="335F9E1D" w:rsidR="002B5D8D" w:rsidRDefault="002B5D8D" w:rsidP="008A1B1C">
      <w:pPr>
        <w:pStyle w:val="Heading1"/>
        <w:rPr>
          <w:rFonts w:ascii="Times" w:hAnsi="Times" w:cs="Times"/>
          <w:sz w:val="36"/>
          <w:szCs w:val="36"/>
        </w:rPr>
      </w:pPr>
      <w:bookmarkStart w:id="9" w:name="_Toc506378258"/>
      <w:r>
        <w:lastRenderedPageBreak/>
        <w:t>Publication of the Operation of These Maintenance Processes</w:t>
      </w:r>
      <w:bookmarkEnd w:id="9"/>
    </w:p>
    <w:p w14:paraId="06019EB9" w14:textId="0B2F9250" w:rsidR="002B5D8D" w:rsidRDefault="002B5D8D" w:rsidP="008A1B1C">
      <w:pPr>
        <w:rPr>
          <w:rFonts w:ascii="Times" w:hAnsi="Times" w:cs="Times"/>
          <w:szCs w:val="24"/>
        </w:rPr>
      </w:pPr>
      <w:r>
        <w:t xml:space="preserve">A Baseline Expectations website makes all Baseline Expectations related information publicly available. The </w:t>
      </w:r>
      <w:r w:rsidR="008A1B1C">
        <w:t>Trust and Identity</w:t>
      </w:r>
      <w:r>
        <w:t xml:space="preserve"> Newsletter is also used to publish some of this information. Between them, the following materials shall be published:</w:t>
      </w:r>
    </w:p>
    <w:p w14:paraId="0732CBB8" w14:textId="77777777" w:rsidR="002B5D8D" w:rsidRPr="004D7726" w:rsidRDefault="002B5D8D" w:rsidP="00F51233">
      <w:pPr>
        <w:pStyle w:val="ListParagraph"/>
        <w:numPr>
          <w:ilvl w:val="0"/>
          <w:numId w:val="6"/>
        </w:numPr>
        <w:spacing w:after="120"/>
        <w:contextualSpacing w:val="0"/>
        <w:rPr>
          <w:sz w:val="23"/>
          <w:szCs w:val="23"/>
        </w:rPr>
      </w:pPr>
      <w:r w:rsidRPr="004D7726">
        <w:rPr>
          <w:sz w:val="23"/>
          <w:szCs w:val="23"/>
        </w:rPr>
        <w:t>The Baseline Expectations themselves. This is the page linked in the FOPP and PA rather than inserting Baseline Expectations-specific wording into those agreements. It is referred to appropriately from the incommon.org website.</w:t>
      </w:r>
      <w:r w:rsidRPr="004D7726">
        <w:rPr>
          <w:rFonts w:ascii="MS Gothic" w:eastAsia="MS Gothic" w:hAnsi="MS Gothic" w:cs="MS Gothic" w:hint="eastAsia"/>
          <w:sz w:val="23"/>
          <w:szCs w:val="23"/>
        </w:rPr>
        <w:t> </w:t>
      </w:r>
    </w:p>
    <w:p w14:paraId="42BE0146" w14:textId="77777777" w:rsidR="002B5D8D" w:rsidRPr="004D7726" w:rsidRDefault="002B5D8D" w:rsidP="00F51233">
      <w:pPr>
        <w:pStyle w:val="ListParagraph"/>
        <w:numPr>
          <w:ilvl w:val="0"/>
          <w:numId w:val="6"/>
        </w:numPr>
        <w:spacing w:after="120"/>
        <w:contextualSpacing w:val="0"/>
        <w:rPr>
          <w:sz w:val="23"/>
          <w:szCs w:val="23"/>
        </w:rPr>
      </w:pPr>
      <w:r w:rsidRPr="004D7726">
        <w:rPr>
          <w:sz w:val="23"/>
          <w:szCs w:val="23"/>
        </w:rPr>
        <w:t>Summary of the Baseline Expectations maintenance processes (this document) incorporating links to related Baseline Expectations website pages.</w:t>
      </w:r>
      <w:r w:rsidRPr="004D7726">
        <w:rPr>
          <w:rFonts w:ascii="MS Gothic" w:eastAsia="MS Gothic" w:hAnsi="MS Gothic" w:cs="MS Gothic" w:hint="eastAsia"/>
          <w:sz w:val="23"/>
          <w:szCs w:val="23"/>
        </w:rPr>
        <w:t> </w:t>
      </w:r>
    </w:p>
    <w:p w14:paraId="0E43B373" w14:textId="77777777" w:rsidR="002B5D8D" w:rsidRPr="004D7726" w:rsidRDefault="002B5D8D" w:rsidP="00F51233">
      <w:pPr>
        <w:pStyle w:val="ListParagraph"/>
        <w:numPr>
          <w:ilvl w:val="0"/>
          <w:numId w:val="6"/>
        </w:numPr>
        <w:spacing w:after="120"/>
        <w:contextualSpacing w:val="0"/>
        <w:rPr>
          <w:sz w:val="23"/>
          <w:szCs w:val="23"/>
        </w:rPr>
      </w:pPr>
      <w:r w:rsidRPr="004D7726">
        <w:rPr>
          <w:sz w:val="23"/>
          <w:szCs w:val="23"/>
        </w:rPr>
        <w:t xml:space="preserve">Metrics on the “Maintain Accuracy of Contact Info, MDUI, Error and Privacy URLs in Metadata” process in Appendix A, such as date of completion of last cycle, date of next cycle, stats on # updated addresses/cycle, # entities moved to “Process to Notify </w:t>
      </w:r>
      <w:proofErr w:type="spellStart"/>
      <w:r w:rsidRPr="004D7726">
        <w:rPr>
          <w:sz w:val="23"/>
          <w:szCs w:val="23"/>
        </w:rPr>
        <w:t>InCommon</w:t>
      </w:r>
      <w:proofErr w:type="spellEnd"/>
      <w:r w:rsidRPr="004D7726">
        <w:rPr>
          <w:sz w:val="23"/>
          <w:szCs w:val="23"/>
        </w:rPr>
        <w:t xml:space="preserve"> Community of Intent to Remove Entities from Metadata”/cycle. </w:t>
      </w:r>
      <w:r w:rsidRPr="004D7726">
        <w:rPr>
          <w:rFonts w:ascii="MS Gothic" w:eastAsia="MS Gothic" w:hAnsi="MS Gothic" w:cs="MS Gothic" w:hint="eastAsia"/>
          <w:sz w:val="23"/>
          <w:szCs w:val="23"/>
        </w:rPr>
        <w:t> </w:t>
      </w:r>
    </w:p>
    <w:p w14:paraId="5647EE29" w14:textId="77777777" w:rsidR="002B5D8D" w:rsidRPr="004D7726" w:rsidRDefault="002B5D8D" w:rsidP="00F51233">
      <w:pPr>
        <w:pStyle w:val="ListParagraph"/>
        <w:numPr>
          <w:ilvl w:val="0"/>
          <w:numId w:val="6"/>
        </w:numPr>
        <w:spacing w:after="120"/>
        <w:contextualSpacing w:val="0"/>
        <w:rPr>
          <w:sz w:val="23"/>
          <w:szCs w:val="23"/>
        </w:rPr>
      </w:pPr>
      <w:r w:rsidRPr="004D7726">
        <w:rPr>
          <w:sz w:val="23"/>
          <w:szCs w:val="23"/>
        </w:rPr>
        <w:t xml:space="preserve">Metrics on the “Process to Notify </w:t>
      </w:r>
      <w:proofErr w:type="spellStart"/>
      <w:r w:rsidRPr="004D7726">
        <w:rPr>
          <w:sz w:val="23"/>
          <w:szCs w:val="23"/>
        </w:rPr>
        <w:t>InCommon</w:t>
      </w:r>
      <w:proofErr w:type="spellEnd"/>
      <w:r w:rsidRPr="004D7726">
        <w:rPr>
          <w:sz w:val="23"/>
          <w:szCs w:val="23"/>
        </w:rPr>
        <w:t xml:space="preserve"> Community of Intent to Alter Participant Metadata”, such as when which entities were put on notice, ultimate disposition of those, date of next cycle.</w:t>
      </w:r>
      <w:r w:rsidRPr="004D7726">
        <w:rPr>
          <w:rFonts w:ascii="MS Gothic" w:eastAsia="MS Gothic" w:hAnsi="MS Gothic" w:cs="MS Gothic" w:hint="eastAsia"/>
          <w:sz w:val="23"/>
          <w:szCs w:val="23"/>
        </w:rPr>
        <w:t> </w:t>
      </w:r>
    </w:p>
    <w:p w14:paraId="20887B41" w14:textId="77777777" w:rsidR="002B5D8D" w:rsidRPr="004D7726" w:rsidRDefault="002B5D8D" w:rsidP="00F51233">
      <w:pPr>
        <w:pStyle w:val="ListParagraph"/>
        <w:numPr>
          <w:ilvl w:val="0"/>
          <w:numId w:val="6"/>
        </w:numPr>
        <w:spacing w:after="120"/>
        <w:contextualSpacing w:val="0"/>
        <w:rPr>
          <w:sz w:val="23"/>
          <w:szCs w:val="23"/>
        </w:rPr>
      </w:pPr>
      <w:r w:rsidRPr="004D7726">
        <w:rPr>
          <w:sz w:val="23"/>
          <w:szCs w:val="23"/>
        </w:rPr>
        <w:t>Provisional and final statements of acceptable or unacceptable operations arising from the “Community Consensus Process for Interpreting Baseline Expectations and Acceptable Operations” process, with dates.</w:t>
      </w:r>
      <w:r w:rsidRPr="004D7726">
        <w:rPr>
          <w:rFonts w:ascii="MS Gothic" w:eastAsia="MS Gothic" w:hAnsi="MS Gothic" w:cs="MS Gothic" w:hint="eastAsia"/>
          <w:sz w:val="23"/>
          <w:szCs w:val="23"/>
        </w:rPr>
        <w:t> </w:t>
      </w:r>
    </w:p>
    <w:p w14:paraId="2EED36B8" w14:textId="77777777" w:rsidR="002B5D8D" w:rsidRPr="004D7726" w:rsidRDefault="002B5D8D" w:rsidP="00F51233">
      <w:pPr>
        <w:pStyle w:val="ListParagraph"/>
        <w:numPr>
          <w:ilvl w:val="0"/>
          <w:numId w:val="6"/>
        </w:numPr>
        <w:spacing w:after="120"/>
        <w:contextualSpacing w:val="0"/>
        <w:rPr>
          <w:sz w:val="23"/>
          <w:szCs w:val="23"/>
        </w:rPr>
      </w:pPr>
      <w:r w:rsidRPr="004D7726">
        <w:rPr>
          <w:sz w:val="23"/>
          <w:szCs w:val="23"/>
        </w:rPr>
        <w:t xml:space="preserve">Suggestions for future changes to the Baseline Expectations themselves. </w:t>
      </w:r>
      <w:r w:rsidRPr="004D7726">
        <w:rPr>
          <w:rFonts w:ascii="MS Gothic" w:eastAsia="MS Gothic" w:hAnsi="MS Gothic" w:cs="MS Gothic" w:hint="eastAsia"/>
          <w:sz w:val="23"/>
          <w:szCs w:val="23"/>
        </w:rPr>
        <w:t> </w:t>
      </w:r>
    </w:p>
    <w:p w14:paraId="5D58FCF8" w14:textId="422383C7" w:rsidR="002B5D8D" w:rsidRPr="008A1B1C" w:rsidRDefault="002B5D8D" w:rsidP="00F51233">
      <w:pPr>
        <w:pStyle w:val="ListParagraph"/>
        <w:numPr>
          <w:ilvl w:val="0"/>
          <w:numId w:val="6"/>
        </w:numPr>
        <w:spacing w:after="120"/>
        <w:contextualSpacing w:val="0"/>
      </w:pPr>
      <w:r w:rsidRPr="004D7726">
        <w:rPr>
          <w:sz w:val="23"/>
          <w:szCs w:val="23"/>
        </w:rPr>
        <w:t>Activity of the “Community Dispute Resolution Process”, i.e., the CTAB’s Docket, including parties, summary of the dispute/concern, dates of entry into Second and Third Stages, resolution and either date of remediation or date of recommendation to the Steering Committee to alter or remove the entity from federation metadata, Steering Committee decision and date.</w:t>
      </w:r>
      <w:r w:rsidRPr="008A1B1C">
        <w:rPr>
          <w:rFonts w:ascii="MS Gothic" w:eastAsia="MS Gothic" w:hAnsi="MS Gothic" w:cs="MS Gothic" w:hint="eastAsia"/>
        </w:rPr>
        <w:t> </w:t>
      </w:r>
    </w:p>
    <w:p w14:paraId="386E971C" w14:textId="77777777" w:rsidR="009943A9" w:rsidRDefault="008A1B1C" w:rsidP="008A1B1C">
      <w:pPr>
        <w:pStyle w:val="Heading1"/>
      </w:pPr>
      <w:bookmarkStart w:id="10" w:name="_Toc506378259"/>
      <w:r>
        <w:rPr>
          <w:rFonts w:hint="eastAsia"/>
        </w:rPr>
        <w:lastRenderedPageBreak/>
        <w:t>Appendix A</w:t>
      </w:r>
      <w:bookmarkEnd w:id="10"/>
    </w:p>
    <w:p w14:paraId="67832E86" w14:textId="77093CCE" w:rsidR="008A1B1C" w:rsidRDefault="008A1B1C" w:rsidP="009943A9">
      <w:pPr>
        <w:pStyle w:val="Heading2"/>
      </w:pPr>
      <w:bookmarkStart w:id="11" w:name="_Toc506378260"/>
      <w:r>
        <w:t>Maintain Accuracy of Contact Info, MDUI, Error and Privacy URLs in Metadata</w:t>
      </w:r>
      <w:bookmarkEnd w:id="11"/>
    </w:p>
    <w:p w14:paraId="67E2B1AF" w14:textId="77777777" w:rsidR="002B5D8D" w:rsidRDefault="002B5D8D" w:rsidP="002B5D8D">
      <w:pPr>
        <w:autoSpaceDE w:val="0"/>
        <w:autoSpaceDN w:val="0"/>
        <w:adjustRightInd w:val="0"/>
        <w:spacing w:after="0" w:line="240" w:lineRule="auto"/>
        <w:rPr>
          <w:rFonts w:ascii="Arial" w:hAnsi="Arial" w:cs="Arial"/>
          <w:color w:val="000000"/>
          <w:szCs w:val="24"/>
        </w:rPr>
      </w:pPr>
    </w:p>
    <w:p w14:paraId="5DACA1CA" w14:textId="369CA788" w:rsidR="008A1B1C" w:rsidRDefault="008A1B1C" w:rsidP="008A1B1C">
      <w:pPr>
        <w:rPr>
          <w:rFonts w:ascii="Times" w:hAnsi="Times" w:cs="Times"/>
          <w:szCs w:val="24"/>
        </w:rPr>
      </w:pPr>
      <w:r>
        <w:t>Following is a progression of steps taken to validate currency of each entity’s contact info, MDUI information, Error and Privacy URLs in federation metadata. Steps 3 onwards are only taken if preceding ones do not conclude satisfactorily. Groups of entities may be put on different cycles to manage the effort required.</w:t>
      </w:r>
    </w:p>
    <w:p w14:paraId="42C7A690" w14:textId="77777777" w:rsidR="008A1B1C" w:rsidRPr="004D7726" w:rsidRDefault="008A1B1C" w:rsidP="00F51233">
      <w:pPr>
        <w:pStyle w:val="ListParagraph"/>
        <w:numPr>
          <w:ilvl w:val="0"/>
          <w:numId w:val="7"/>
        </w:numPr>
        <w:rPr>
          <w:sz w:val="23"/>
          <w:szCs w:val="23"/>
        </w:rPr>
      </w:pPr>
      <w:r w:rsidRPr="004D7726">
        <w:rPr>
          <w:sz w:val="23"/>
          <w:szCs w:val="23"/>
        </w:rPr>
        <w:t xml:space="preserve">Send email to each email contact with an embedded code so that replying to the email will automatically update an associated database, </w:t>
      </w:r>
      <w:proofErr w:type="spellStart"/>
      <w:r w:rsidRPr="004D7726">
        <w:rPr>
          <w:sz w:val="23"/>
          <w:szCs w:val="23"/>
        </w:rPr>
        <w:t>eg</w:t>
      </w:r>
      <w:proofErr w:type="spellEnd"/>
      <w:r w:rsidRPr="004D7726">
        <w:rPr>
          <w:sz w:val="23"/>
          <w:szCs w:val="23"/>
        </w:rPr>
        <w:t>, as commonly supported by listserv software. Do this every 6 months.</w:t>
      </w:r>
      <w:r w:rsidRPr="004D7726">
        <w:rPr>
          <w:rFonts w:ascii="MS Gothic" w:eastAsia="MS Gothic" w:hAnsi="MS Gothic" w:cs="MS Gothic" w:hint="eastAsia"/>
          <w:sz w:val="23"/>
          <w:szCs w:val="23"/>
        </w:rPr>
        <w:t> </w:t>
      </w:r>
    </w:p>
    <w:p w14:paraId="004DB689" w14:textId="77777777" w:rsidR="008A1B1C" w:rsidRPr="004D7726" w:rsidRDefault="008A1B1C" w:rsidP="00F51233">
      <w:pPr>
        <w:pStyle w:val="ListParagraph"/>
        <w:numPr>
          <w:ilvl w:val="0"/>
          <w:numId w:val="7"/>
        </w:numPr>
        <w:rPr>
          <w:sz w:val="23"/>
          <w:szCs w:val="23"/>
        </w:rPr>
      </w:pPr>
      <w:r w:rsidRPr="004D7726">
        <w:rPr>
          <w:sz w:val="23"/>
          <w:szCs w:val="23"/>
        </w:rPr>
        <w:t>Monitor MDUI information, Error and Privacy URLs for an acceptable response and if any fail continuously for 2 weeks, re-notify the associated contacts.</w:t>
      </w:r>
      <w:r w:rsidRPr="004D7726">
        <w:rPr>
          <w:rFonts w:ascii="MS Gothic" w:eastAsia="MS Gothic" w:hAnsi="MS Gothic" w:cs="MS Gothic" w:hint="eastAsia"/>
          <w:sz w:val="23"/>
          <w:szCs w:val="23"/>
        </w:rPr>
        <w:t> </w:t>
      </w:r>
    </w:p>
    <w:p w14:paraId="40605F8A" w14:textId="77777777" w:rsidR="008A1B1C" w:rsidRPr="004D7726" w:rsidRDefault="008A1B1C" w:rsidP="00F51233">
      <w:pPr>
        <w:pStyle w:val="ListParagraph"/>
        <w:numPr>
          <w:ilvl w:val="0"/>
          <w:numId w:val="7"/>
        </w:numPr>
        <w:rPr>
          <w:sz w:val="23"/>
          <w:szCs w:val="23"/>
        </w:rPr>
      </w:pPr>
      <w:r w:rsidRPr="004D7726">
        <w:rPr>
          <w:sz w:val="23"/>
          <w:szCs w:val="23"/>
        </w:rPr>
        <w:t>Run a report on the database after the notification or reply has expired (2 weeks) and send a follow up to non-respondents.</w:t>
      </w:r>
      <w:r w:rsidRPr="004D7726">
        <w:rPr>
          <w:rFonts w:ascii="MS Gothic" w:eastAsia="MS Gothic" w:hAnsi="MS Gothic" w:cs="MS Gothic" w:hint="eastAsia"/>
          <w:sz w:val="23"/>
          <w:szCs w:val="23"/>
        </w:rPr>
        <w:t> </w:t>
      </w:r>
    </w:p>
    <w:p w14:paraId="4C3E0CB2" w14:textId="77777777" w:rsidR="008A1B1C" w:rsidRPr="004D7726" w:rsidRDefault="008A1B1C" w:rsidP="00F51233">
      <w:pPr>
        <w:pStyle w:val="ListParagraph"/>
        <w:numPr>
          <w:ilvl w:val="0"/>
          <w:numId w:val="7"/>
        </w:numPr>
        <w:rPr>
          <w:sz w:val="23"/>
          <w:szCs w:val="23"/>
        </w:rPr>
      </w:pPr>
      <w:r w:rsidRPr="004D7726">
        <w:rPr>
          <w:sz w:val="23"/>
          <w:szCs w:val="23"/>
        </w:rPr>
        <w:t>Run another report after 2 weeks and send a follow up to Executive Contact or a senior IT manager (which is not kept in metadata) of non-respondent Participants.</w:t>
      </w:r>
      <w:r w:rsidRPr="004D7726">
        <w:rPr>
          <w:rFonts w:ascii="MS Gothic" w:eastAsia="MS Gothic" w:hAnsi="MS Gothic" w:cs="MS Gothic" w:hint="eastAsia"/>
          <w:sz w:val="23"/>
          <w:szCs w:val="23"/>
        </w:rPr>
        <w:t> </w:t>
      </w:r>
    </w:p>
    <w:p w14:paraId="0379EF8B" w14:textId="77777777" w:rsidR="008A1B1C" w:rsidRPr="004D7726" w:rsidRDefault="008A1B1C" w:rsidP="00F51233">
      <w:pPr>
        <w:pStyle w:val="ListParagraph"/>
        <w:numPr>
          <w:ilvl w:val="0"/>
          <w:numId w:val="7"/>
        </w:numPr>
        <w:rPr>
          <w:sz w:val="23"/>
          <w:szCs w:val="23"/>
        </w:rPr>
      </w:pPr>
      <w:r w:rsidRPr="004D7726">
        <w:rPr>
          <w:sz w:val="23"/>
          <w:szCs w:val="23"/>
        </w:rPr>
        <w:t>Send 2</w:t>
      </w:r>
      <w:r w:rsidRPr="004D7726">
        <w:rPr>
          <w:sz w:val="23"/>
          <w:szCs w:val="23"/>
          <w:vertAlign w:val="superscript"/>
        </w:rPr>
        <w:t>nd</w:t>
      </w:r>
      <w:r w:rsidRPr="004D7726">
        <w:rPr>
          <w:sz w:val="23"/>
          <w:szCs w:val="23"/>
        </w:rPr>
        <w:t xml:space="preserve"> notice to Executive Contact or senior IT manager if no answer after 2 weeks.</w:t>
      </w:r>
      <w:r w:rsidRPr="004D7726">
        <w:rPr>
          <w:rFonts w:ascii="MS Gothic" w:eastAsia="MS Gothic" w:hAnsi="MS Gothic" w:cs="MS Gothic" w:hint="eastAsia"/>
          <w:sz w:val="23"/>
          <w:szCs w:val="23"/>
        </w:rPr>
        <w:t> </w:t>
      </w:r>
    </w:p>
    <w:p w14:paraId="77E76A08" w14:textId="77777777" w:rsidR="008A1B1C" w:rsidRPr="004D7726" w:rsidRDefault="008A1B1C" w:rsidP="00F51233">
      <w:pPr>
        <w:pStyle w:val="ListParagraph"/>
        <w:numPr>
          <w:ilvl w:val="0"/>
          <w:numId w:val="7"/>
        </w:numPr>
        <w:rPr>
          <w:sz w:val="23"/>
          <w:szCs w:val="23"/>
        </w:rPr>
      </w:pPr>
      <w:r w:rsidRPr="004D7726">
        <w:rPr>
          <w:sz w:val="23"/>
          <w:szCs w:val="23"/>
        </w:rPr>
        <w:t>Phone call to Executive Contact or senior IT manager. Repeat 3 tries over 2 weeks if necessary.</w:t>
      </w:r>
      <w:r w:rsidRPr="004D7726">
        <w:rPr>
          <w:rFonts w:ascii="MS Gothic" w:eastAsia="MS Gothic" w:hAnsi="MS Gothic" w:cs="MS Gothic" w:hint="eastAsia"/>
          <w:sz w:val="23"/>
          <w:szCs w:val="23"/>
        </w:rPr>
        <w:t> </w:t>
      </w:r>
    </w:p>
    <w:p w14:paraId="03DB9A23" w14:textId="77777777" w:rsidR="008A1B1C" w:rsidRPr="004D7726" w:rsidRDefault="008A1B1C" w:rsidP="00F51233">
      <w:pPr>
        <w:pStyle w:val="ListParagraph"/>
        <w:numPr>
          <w:ilvl w:val="0"/>
          <w:numId w:val="7"/>
        </w:numPr>
        <w:rPr>
          <w:sz w:val="23"/>
          <w:szCs w:val="23"/>
        </w:rPr>
      </w:pPr>
      <w:r w:rsidRPr="004D7726">
        <w:rPr>
          <w:sz w:val="23"/>
          <w:szCs w:val="23"/>
        </w:rPr>
        <w:t xml:space="preserve">Use Process to Notify </w:t>
      </w:r>
      <w:proofErr w:type="spellStart"/>
      <w:r w:rsidRPr="004D7726">
        <w:rPr>
          <w:sz w:val="23"/>
          <w:szCs w:val="23"/>
        </w:rPr>
        <w:t>InCommon</w:t>
      </w:r>
      <w:proofErr w:type="spellEnd"/>
      <w:r w:rsidRPr="004D7726">
        <w:rPr>
          <w:sz w:val="23"/>
          <w:szCs w:val="23"/>
        </w:rPr>
        <w:t xml:space="preserve"> Community of Intent to Alter Participant Metadata.</w:t>
      </w:r>
      <w:r w:rsidRPr="004D7726">
        <w:rPr>
          <w:rFonts w:ascii="MS Gothic" w:eastAsia="MS Gothic" w:hAnsi="MS Gothic" w:cs="MS Gothic" w:hint="eastAsia"/>
          <w:sz w:val="23"/>
          <w:szCs w:val="23"/>
        </w:rPr>
        <w:t> </w:t>
      </w:r>
    </w:p>
    <w:p w14:paraId="1AB4F37B" w14:textId="0D09523E" w:rsidR="008A1B1C" w:rsidRPr="004D7726" w:rsidRDefault="008A1B1C" w:rsidP="00F51233">
      <w:pPr>
        <w:pStyle w:val="ListParagraph"/>
        <w:numPr>
          <w:ilvl w:val="1"/>
          <w:numId w:val="7"/>
        </w:numPr>
        <w:rPr>
          <w:sz w:val="23"/>
          <w:szCs w:val="23"/>
        </w:rPr>
      </w:pPr>
      <w:r w:rsidRPr="004D7726">
        <w:rPr>
          <w:sz w:val="23"/>
          <w:szCs w:val="23"/>
        </w:rPr>
        <w:t xml:space="preserve">Notices due to unverified contact information or unacceptable MDUI information, Error or Privacy URLs should state clearly that (1) </w:t>
      </w:r>
      <w:proofErr w:type="spellStart"/>
      <w:r w:rsidRPr="004D7726">
        <w:rPr>
          <w:sz w:val="23"/>
          <w:szCs w:val="23"/>
        </w:rPr>
        <w:t>InCommon</w:t>
      </w:r>
      <w:proofErr w:type="spellEnd"/>
      <w:r w:rsidRPr="004D7726">
        <w:rPr>
          <w:sz w:val="23"/>
          <w:szCs w:val="23"/>
        </w:rPr>
        <w:t xml:space="preserve"> is using this means as a last resort to contact someone at Participant to resolve the issue, which is the desired outcome, (2) if no contact can be made after 1 month, </w:t>
      </w:r>
      <w:proofErr w:type="spellStart"/>
      <w:r w:rsidRPr="004D7726">
        <w:rPr>
          <w:sz w:val="23"/>
          <w:szCs w:val="23"/>
        </w:rPr>
        <w:t>InCommon</w:t>
      </w:r>
      <w:proofErr w:type="spellEnd"/>
      <w:r w:rsidRPr="004D7726">
        <w:rPr>
          <w:sz w:val="23"/>
          <w:szCs w:val="23"/>
        </w:rPr>
        <w:t xml:space="preserve"> will have no choice but to remove or alter Participant’s $Entity metadata on $Date, and (3) the specific basis in the FOPP or PA for that action, if no contact is made.</w:t>
      </w:r>
      <w:r w:rsidRPr="004D7726">
        <w:rPr>
          <w:rFonts w:ascii="MS Gothic" w:eastAsia="MS Gothic" w:hAnsi="MS Gothic" w:cs="MS Gothic" w:hint="eastAsia"/>
          <w:sz w:val="23"/>
          <w:szCs w:val="23"/>
        </w:rPr>
        <w:t> </w:t>
      </w:r>
    </w:p>
    <w:p w14:paraId="39A4C9E0" w14:textId="5A68DDB9" w:rsidR="008A1B1C" w:rsidRDefault="008A1B1C" w:rsidP="008A1B1C">
      <w:pPr>
        <w:pStyle w:val="Heading1"/>
      </w:pPr>
      <w:bookmarkStart w:id="12" w:name="_Toc506378261"/>
      <w:r>
        <w:lastRenderedPageBreak/>
        <w:t>Appendix B: Diagram of Community Dispute Resolution Process</w:t>
      </w:r>
      <w:bookmarkEnd w:id="12"/>
    </w:p>
    <w:p w14:paraId="1069F00D" w14:textId="35414AE6" w:rsidR="00A0301E" w:rsidRPr="00A0301E" w:rsidRDefault="00A0301E" w:rsidP="008A1B1C">
      <w:pPr>
        <w:rPr>
          <w:rFonts w:eastAsia="Times New Roman" w:cstheme="minorHAnsi"/>
          <w:color w:val="auto"/>
          <w:szCs w:val="24"/>
          <w:lang w:eastAsia="en-US"/>
        </w:rPr>
      </w:pPr>
    </w:p>
    <w:sectPr w:rsidR="00A0301E" w:rsidRPr="00A0301E" w:rsidSect="00E66EB3">
      <w:headerReference w:type="default" r:id="rId20"/>
      <w:pgSz w:w="12240" w:h="15840" w:code="1"/>
      <w:pgMar w:top="1080" w:right="720" w:bottom="1332" w:left="3096" w:header="1080"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0F45" w14:textId="77777777" w:rsidR="00B22AC3" w:rsidRDefault="00B22AC3">
      <w:pPr>
        <w:spacing w:after="0" w:line="240" w:lineRule="auto"/>
      </w:pPr>
      <w:r>
        <w:separator/>
      </w:r>
    </w:p>
    <w:p w14:paraId="420BBF08" w14:textId="77777777" w:rsidR="00B22AC3" w:rsidRDefault="00B22AC3"/>
    <w:p w14:paraId="57AC5E23" w14:textId="77777777" w:rsidR="00B22AC3" w:rsidRDefault="00B22AC3"/>
    <w:p w14:paraId="0AA44274" w14:textId="77777777" w:rsidR="00B22AC3" w:rsidRDefault="00B22AC3"/>
  </w:endnote>
  <w:endnote w:type="continuationSeparator" w:id="0">
    <w:p w14:paraId="4B3802AE" w14:textId="77777777" w:rsidR="00B22AC3" w:rsidRDefault="00B22AC3">
      <w:pPr>
        <w:spacing w:after="0" w:line="240" w:lineRule="auto"/>
      </w:pPr>
      <w:r>
        <w:continuationSeparator/>
      </w:r>
    </w:p>
    <w:p w14:paraId="3ECBAEEB" w14:textId="77777777" w:rsidR="00B22AC3" w:rsidRDefault="00B22AC3"/>
    <w:p w14:paraId="270241D1" w14:textId="77777777" w:rsidR="00B22AC3" w:rsidRDefault="00B22AC3"/>
    <w:p w14:paraId="1CA3BD9A" w14:textId="77777777" w:rsidR="00B22AC3" w:rsidRDefault="00B22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B639" w14:textId="77777777" w:rsidR="000E7BC8" w:rsidRDefault="000E7BC8" w:rsidP="00305D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F2048" w14:textId="77777777" w:rsidR="000E7BC8" w:rsidRDefault="000E7BC8" w:rsidP="000E7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BC60" w14:textId="77777777" w:rsidR="002C7FD4" w:rsidRDefault="002C7FD4" w:rsidP="002C7FD4">
    <w:pPr>
      <w:pStyle w:val="Footer"/>
      <w:framePr w:h="365" w:hRule="exact" w:wrap="none" w:vAnchor="text" w:hAnchor="page" w:x="11182" w:y="162"/>
      <w:rPr>
        <w:rStyle w:val="PageNumber"/>
      </w:rPr>
    </w:pPr>
    <w:r>
      <w:rPr>
        <w:rStyle w:val="PageNumber"/>
      </w:rPr>
      <w:fldChar w:fldCharType="begin"/>
    </w:r>
    <w:r>
      <w:rPr>
        <w:rStyle w:val="PageNumber"/>
      </w:rPr>
      <w:instrText xml:space="preserve">PAGE  </w:instrText>
    </w:r>
    <w:r>
      <w:rPr>
        <w:rStyle w:val="PageNumber"/>
      </w:rPr>
      <w:fldChar w:fldCharType="separate"/>
    </w:r>
    <w:r w:rsidR="00855406">
      <w:rPr>
        <w:rStyle w:val="PageNumber"/>
        <w:noProof/>
      </w:rPr>
      <w:t>2</w:t>
    </w:r>
    <w:r>
      <w:rPr>
        <w:rStyle w:val="PageNumber"/>
      </w:rPr>
      <w:fldChar w:fldCharType="end"/>
    </w:r>
  </w:p>
  <w:p w14:paraId="5D9A0EF0" w14:textId="3EEB50CB" w:rsidR="002C7FD4" w:rsidRDefault="00B22AC3" w:rsidP="000E7BC8">
    <w:pPr>
      <w:pStyle w:val="Footer"/>
      <w:ind w:right="360"/>
    </w:pPr>
    <w:r>
      <w:rPr>
        <w:noProof/>
      </w:rPr>
      <w:pict w14:anchorId="6B50B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s/Microsoft Word.app/Contents/Resources/Lines/Default Line.gif" style="width:421.1pt;height:1.35pt;mso-width-percent:0;mso-height-percent:0;mso-width-percent:0;mso-height-percent:0" o:hrpct="0" o:hralign="center" o:hr="t">
          <v:imagedata r:id="rId1" o:title="Default Line"/>
        </v:shape>
      </w:pict>
    </w:r>
  </w:p>
  <w:p w14:paraId="3CFB6FDD" w14:textId="0B94EC5E" w:rsidR="000E7BC8" w:rsidRDefault="008A1B1C" w:rsidP="000E7BC8">
    <w:pPr>
      <w:pStyle w:val="Footer"/>
      <w:ind w:right="360"/>
    </w:pPr>
    <w:r>
      <w:t>Baseline Expectations</w:t>
    </w:r>
    <w:r w:rsidR="005142D3">
      <w:t>: Community Dispute Resolution Process</w:t>
    </w:r>
    <w:r w:rsidR="000E7BC8">
      <w:tab/>
    </w:r>
    <w:r w:rsidR="000E7BC8">
      <w:tab/>
    </w:r>
    <w:r w:rsidR="000E7BC8">
      <w:tab/>
    </w:r>
    <w:r w:rsidR="000E7BC8">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3061" w14:textId="0F216751" w:rsidR="00483F3B" w:rsidRDefault="00483F3B" w:rsidP="00483F3B">
    <w:pPr>
      <w:pStyle w:val="Footer"/>
      <w:framePr w:wrap="none" w:vAnchor="text" w:hAnchor="page" w:x="11242" w:y="-43"/>
      <w:rPr>
        <w:rStyle w:val="PageNumber"/>
      </w:rPr>
    </w:pPr>
  </w:p>
  <w:tbl>
    <w:tblPr>
      <w:tblW w:w="6361" w:type="pct"/>
      <w:tblInd w:w="-2347" w:type="dxa"/>
      <w:tblBorders>
        <w:top w:val="single" w:sz="8" w:space="0" w:color="000000" w:themeColor="text1"/>
      </w:tblBorders>
      <w:tblCellMar>
        <w:top w:w="144" w:type="dxa"/>
        <w:left w:w="0" w:type="dxa"/>
        <w:right w:w="0" w:type="dxa"/>
      </w:tblCellMar>
      <w:tblLook w:val="04A0" w:firstRow="1" w:lastRow="0" w:firstColumn="1" w:lastColumn="0" w:noHBand="0" w:noVBand="1"/>
      <w:tblDescription w:val="Contact info table"/>
    </w:tblPr>
    <w:tblGrid>
      <w:gridCol w:w="3573"/>
      <w:gridCol w:w="3573"/>
      <w:gridCol w:w="3571"/>
    </w:tblGrid>
    <w:tr w:rsidR="00184B35" w14:paraId="7DEF5E29" w14:textId="77777777">
      <w:trPr>
        <w:trHeight w:hRule="exact" w:val="86"/>
      </w:trPr>
      <w:tc>
        <w:tcPr>
          <w:tcW w:w="1667" w:type="pct"/>
          <w:shd w:val="clear" w:color="auto" w:fill="000000" w:themeFill="text1"/>
        </w:tcPr>
        <w:p w14:paraId="5FC7C83D" w14:textId="77777777" w:rsidR="00184B35" w:rsidRDefault="00184B35" w:rsidP="00483F3B">
          <w:pPr>
            <w:ind w:right="360"/>
          </w:pPr>
        </w:p>
      </w:tc>
      <w:tc>
        <w:tcPr>
          <w:tcW w:w="1667" w:type="pct"/>
          <w:shd w:val="clear" w:color="auto" w:fill="000000" w:themeFill="text1"/>
        </w:tcPr>
        <w:p w14:paraId="0E59B6F0" w14:textId="77777777" w:rsidR="00184B35" w:rsidRDefault="00184B35">
          <w:pPr>
            <w:pStyle w:val="Footer"/>
          </w:pPr>
        </w:p>
      </w:tc>
      <w:tc>
        <w:tcPr>
          <w:tcW w:w="1666" w:type="pct"/>
          <w:shd w:val="clear" w:color="auto" w:fill="000000" w:themeFill="text1"/>
        </w:tcPr>
        <w:p w14:paraId="22CBC272" w14:textId="77777777" w:rsidR="00184B35" w:rsidRDefault="00184B35">
          <w:pPr>
            <w:pStyle w:val="Footer"/>
          </w:pPr>
        </w:p>
      </w:tc>
    </w:tr>
  </w:tbl>
  <w:p w14:paraId="62FC476C" w14:textId="59288484" w:rsidR="00184B35" w:rsidRPr="009521BF" w:rsidRDefault="00184B35" w:rsidP="00EB40B9">
    <w:pPr>
      <w:pStyle w:val="Footer"/>
      <w:rPr>
        <w:color w:val="auto"/>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9C75" w14:textId="77777777" w:rsidR="00B22AC3" w:rsidRDefault="00B22AC3">
      <w:pPr>
        <w:spacing w:after="0" w:line="240" w:lineRule="auto"/>
      </w:pPr>
      <w:r>
        <w:separator/>
      </w:r>
    </w:p>
    <w:p w14:paraId="50A4F9A9" w14:textId="77777777" w:rsidR="00B22AC3" w:rsidRDefault="00B22AC3"/>
    <w:p w14:paraId="640ABB55" w14:textId="77777777" w:rsidR="00B22AC3" w:rsidRDefault="00B22AC3"/>
    <w:p w14:paraId="0AC19E26" w14:textId="77777777" w:rsidR="00B22AC3" w:rsidRDefault="00B22AC3"/>
  </w:footnote>
  <w:footnote w:type="continuationSeparator" w:id="0">
    <w:p w14:paraId="1300FD4C" w14:textId="77777777" w:rsidR="00B22AC3" w:rsidRDefault="00B22AC3">
      <w:pPr>
        <w:spacing w:after="0" w:line="240" w:lineRule="auto"/>
      </w:pPr>
      <w:r>
        <w:continuationSeparator/>
      </w:r>
    </w:p>
    <w:p w14:paraId="28021930" w14:textId="77777777" w:rsidR="00B22AC3" w:rsidRDefault="00B22AC3"/>
    <w:p w14:paraId="738D1256" w14:textId="77777777" w:rsidR="00B22AC3" w:rsidRDefault="00B22AC3"/>
    <w:p w14:paraId="06056D86" w14:textId="77777777" w:rsidR="00B22AC3" w:rsidRDefault="00B22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184B35" w14:paraId="0699FBAD" w14:textId="77777777">
      <w:trPr>
        <w:trHeight w:hRule="exact" w:val="720"/>
        <w:jc w:val="right"/>
      </w:trPr>
      <w:tc>
        <w:tcPr>
          <w:tcW w:w="2088" w:type="dxa"/>
          <w:vAlign w:val="bottom"/>
        </w:tcPr>
        <w:p w14:paraId="0E2AFBF5" w14:textId="77777777" w:rsidR="00184B35" w:rsidRDefault="00184B35">
          <w:pPr>
            <w:pStyle w:val="Page"/>
          </w:pPr>
        </w:p>
      </w:tc>
      <w:tc>
        <w:tcPr>
          <w:tcW w:w="288" w:type="dxa"/>
          <w:shd w:val="clear" w:color="auto" w:fill="auto"/>
          <w:vAlign w:val="bottom"/>
        </w:tcPr>
        <w:p w14:paraId="2210A2EC" w14:textId="77777777" w:rsidR="00184B35" w:rsidRDefault="00184B35"/>
      </w:tc>
      <w:tc>
        <w:tcPr>
          <w:tcW w:w="8424" w:type="dxa"/>
          <w:vAlign w:val="bottom"/>
        </w:tcPr>
        <w:p w14:paraId="7347050F" w14:textId="77777777" w:rsidR="00184B35" w:rsidRDefault="00C50FEA">
          <w:pPr>
            <w:pStyle w:val="Heading3"/>
          </w:pPr>
          <w:r>
            <w:t>Table of Contents</w:t>
          </w:r>
        </w:p>
      </w:tc>
    </w:tr>
    <w:tr w:rsidR="00184B35" w14:paraId="548FD8EC" w14:textId="77777777">
      <w:trPr>
        <w:trHeight w:hRule="exact" w:val="86"/>
        <w:jc w:val="right"/>
      </w:trPr>
      <w:tc>
        <w:tcPr>
          <w:tcW w:w="2088" w:type="dxa"/>
          <w:shd w:val="clear" w:color="auto" w:fill="000000" w:themeFill="text1"/>
        </w:tcPr>
        <w:p w14:paraId="5C58CCA0" w14:textId="77777777" w:rsidR="00184B35" w:rsidRDefault="00184B35">
          <w:pPr>
            <w:pStyle w:val="Header"/>
          </w:pPr>
        </w:p>
      </w:tc>
      <w:tc>
        <w:tcPr>
          <w:tcW w:w="288" w:type="dxa"/>
          <w:shd w:val="clear" w:color="auto" w:fill="auto"/>
        </w:tcPr>
        <w:p w14:paraId="55AEF97B" w14:textId="77777777" w:rsidR="00184B35" w:rsidRDefault="00184B35">
          <w:pPr>
            <w:pStyle w:val="Header"/>
          </w:pPr>
        </w:p>
      </w:tc>
      <w:tc>
        <w:tcPr>
          <w:tcW w:w="8424" w:type="dxa"/>
          <w:shd w:val="clear" w:color="auto" w:fill="000000" w:themeFill="text1"/>
        </w:tcPr>
        <w:p w14:paraId="34A5B7FB" w14:textId="77777777" w:rsidR="00184B35" w:rsidRDefault="00184B35">
          <w:pPr>
            <w:pStyle w:val="Header"/>
          </w:pPr>
        </w:p>
      </w:tc>
    </w:tr>
  </w:tbl>
  <w:p w14:paraId="2D81AD2D" w14:textId="77777777" w:rsidR="00184B35" w:rsidRDefault="0018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184B35" w14:paraId="61332FC4" w14:textId="77777777" w:rsidTr="00B9512E">
      <w:trPr>
        <w:trHeight w:hRule="exact" w:val="1017"/>
        <w:jc w:val="right"/>
      </w:trPr>
      <w:tc>
        <w:tcPr>
          <w:tcW w:w="2088" w:type="dxa"/>
          <w:vAlign w:val="bottom"/>
        </w:tcPr>
        <w:p w14:paraId="3A8F739A" w14:textId="34E55392" w:rsidR="00184B35" w:rsidRDefault="00184B35">
          <w:pPr>
            <w:pStyle w:val="Page"/>
          </w:pPr>
        </w:p>
      </w:tc>
      <w:tc>
        <w:tcPr>
          <w:tcW w:w="288" w:type="dxa"/>
          <w:vAlign w:val="bottom"/>
        </w:tcPr>
        <w:p w14:paraId="2C52B4F0" w14:textId="77777777" w:rsidR="00184B35" w:rsidRDefault="00184B35"/>
      </w:tc>
      <w:tc>
        <w:tcPr>
          <w:tcW w:w="8424" w:type="dxa"/>
          <w:vAlign w:val="bottom"/>
        </w:tcPr>
        <w:p w14:paraId="7BF42B6F" w14:textId="2562C78F" w:rsidR="00184B35" w:rsidRDefault="00C50FEA">
          <w:pPr>
            <w:pStyle w:val="Heading3"/>
          </w:pPr>
          <w:r>
            <w:fldChar w:fldCharType="begin"/>
          </w:r>
          <w:r>
            <w:instrText xml:space="preserve"> If </w:instrText>
          </w:r>
          <w:fldSimple w:instr=" STYLEREF “Heading 1”  ">
            <w:r w:rsidR="0062299F">
              <w:rPr>
                <w:noProof/>
              </w:rPr>
              <w:instrText>Overview</w:instrText>
            </w:r>
          </w:fldSimple>
          <w:r>
            <w:instrText>&lt;&gt; “Error*” “</w:instrText>
          </w:r>
          <w:fldSimple w:instr=" STYLEREF “Heading 1” ">
            <w:r w:rsidR="0062299F">
              <w:rPr>
                <w:noProof/>
              </w:rPr>
              <w:instrText>Overview</w:instrText>
            </w:r>
          </w:fldSimple>
          <w:r>
            <w:instrText xml:space="preserve"> </w:instrText>
          </w:r>
          <w:r>
            <w:fldChar w:fldCharType="separate"/>
          </w:r>
          <w:r w:rsidR="0062299F">
            <w:rPr>
              <w:noProof/>
            </w:rPr>
            <w:t xml:space="preserve">Overview </w:t>
          </w:r>
          <w:r>
            <w:fldChar w:fldCharType="end"/>
          </w:r>
        </w:p>
      </w:tc>
    </w:tr>
    <w:tr w:rsidR="00184B35" w14:paraId="1A9B5CF2" w14:textId="77777777">
      <w:trPr>
        <w:trHeight w:hRule="exact" w:val="86"/>
        <w:jc w:val="right"/>
      </w:trPr>
      <w:tc>
        <w:tcPr>
          <w:tcW w:w="2088" w:type="dxa"/>
          <w:shd w:val="clear" w:color="auto" w:fill="000000" w:themeFill="text1"/>
        </w:tcPr>
        <w:p w14:paraId="03BC6885" w14:textId="77777777" w:rsidR="00184B35" w:rsidRDefault="00184B35">
          <w:pPr>
            <w:rPr>
              <w:sz w:val="10"/>
            </w:rPr>
          </w:pPr>
        </w:p>
      </w:tc>
      <w:tc>
        <w:tcPr>
          <w:tcW w:w="288" w:type="dxa"/>
        </w:tcPr>
        <w:p w14:paraId="6E026286" w14:textId="77777777" w:rsidR="00184B35" w:rsidRDefault="00184B35">
          <w:pPr>
            <w:rPr>
              <w:sz w:val="10"/>
            </w:rPr>
          </w:pPr>
        </w:p>
      </w:tc>
      <w:tc>
        <w:tcPr>
          <w:tcW w:w="8424" w:type="dxa"/>
          <w:shd w:val="clear" w:color="auto" w:fill="000000" w:themeFill="text1"/>
        </w:tcPr>
        <w:p w14:paraId="6C8A8EF6" w14:textId="77777777" w:rsidR="00184B35" w:rsidRDefault="00184B35">
          <w:pPr>
            <w:rPr>
              <w:sz w:val="10"/>
            </w:rPr>
          </w:pPr>
        </w:p>
      </w:tc>
    </w:tr>
  </w:tbl>
  <w:p w14:paraId="554960D7" w14:textId="77777777" w:rsidR="00EF64C7" w:rsidRDefault="00EF64C7" w:rsidP="00944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44C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6C13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44DEF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FB876F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E5A023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C5C5F1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B4EF24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7050984"/>
    <w:multiLevelType w:val="hybridMultilevel"/>
    <w:tmpl w:val="80140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66B27"/>
    <w:multiLevelType w:val="hybridMultilevel"/>
    <w:tmpl w:val="29FE7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F6A45"/>
    <w:multiLevelType w:val="multilevel"/>
    <w:tmpl w:val="017C49B4"/>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720" w:hanging="360"/>
      </w:pPr>
      <w:rPr>
        <w:rFonts w:hint="default"/>
        <w:color w:val="EF4623" w:themeColor="accent1"/>
      </w:rPr>
    </w:lvl>
    <w:lvl w:ilvl="2">
      <w:start w:val="1"/>
      <w:numFmt w:val="lowerLetter"/>
      <w:lvlText w:val="%3."/>
      <w:lvlJc w:val="left"/>
      <w:pPr>
        <w:ind w:left="1080" w:hanging="360"/>
      </w:pPr>
      <w:rPr>
        <w:rFonts w:hint="default"/>
        <w:color w:val="EF4623" w:themeColor="accent1"/>
      </w:rPr>
    </w:lvl>
    <w:lvl w:ilvl="3">
      <w:start w:val="1"/>
      <w:numFmt w:val="lowerRoman"/>
      <w:lvlText w:val="%4."/>
      <w:lvlJc w:val="left"/>
      <w:pPr>
        <w:ind w:left="1440" w:hanging="360"/>
      </w:pPr>
      <w:rPr>
        <w:rFonts w:hint="default"/>
        <w:color w:val="EF4623"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CD3C28"/>
    <w:multiLevelType w:val="hybridMultilevel"/>
    <w:tmpl w:val="36A0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21A7A"/>
    <w:multiLevelType w:val="hybridMultilevel"/>
    <w:tmpl w:val="C5E2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C14EB"/>
    <w:multiLevelType w:val="multilevel"/>
    <w:tmpl w:val="182839F0"/>
    <w:lvl w:ilvl="0">
      <w:start w:val="1"/>
      <w:numFmt w:val="bullet"/>
      <w:pStyle w:val="ListBullet"/>
      <w:lvlText w:val="•"/>
      <w:lvlJc w:val="left"/>
      <w:pPr>
        <w:ind w:left="648" w:hanging="360"/>
      </w:pPr>
      <w:rPr>
        <w:rFonts w:ascii="Cambria" w:hAnsi="Cambria" w:hint="default"/>
        <w:color w:val="EF4623" w:themeColor="accent1"/>
      </w:rPr>
    </w:lvl>
    <w:lvl w:ilvl="1">
      <w:start w:val="1"/>
      <w:numFmt w:val="bullet"/>
      <w:lvlText w:val="•"/>
      <w:lvlJc w:val="left"/>
      <w:pPr>
        <w:tabs>
          <w:tab w:val="num" w:pos="648"/>
        </w:tabs>
        <w:ind w:left="720" w:hanging="360"/>
      </w:pPr>
      <w:rPr>
        <w:rFonts w:ascii="Cambria" w:hAnsi="Cambria" w:hint="default"/>
        <w:color w:val="EF4623" w:themeColor="accent1"/>
      </w:rPr>
    </w:lvl>
    <w:lvl w:ilvl="2">
      <w:start w:val="1"/>
      <w:numFmt w:val="bullet"/>
      <w:lvlText w:val="•"/>
      <w:lvlJc w:val="left"/>
      <w:pPr>
        <w:tabs>
          <w:tab w:val="num" w:pos="1008"/>
        </w:tabs>
        <w:ind w:left="1080" w:hanging="360"/>
      </w:pPr>
      <w:rPr>
        <w:rFonts w:ascii="Cambria" w:hAnsi="Cambria" w:hint="default"/>
        <w:color w:val="EF4623" w:themeColor="accent1"/>
      </w:rPr>
    </w:lvl>
    <w:lvl w:ilvl="3">
      <w:start w:val="1"/>
      <w:numFmt w:val="bullet"/>
      <w:lvlText w:val="•"/>
      <w:lvlJc w:val="left"/>
      <w:pPr>
        <w:tabs>
          <w:tab w:val="num" w:pos="1368"/>
        </w:tabs>
        <w:ind w:left="1440" w:hanging="360"/>
      </w:pPr>
      <w:rPr>
        <w:rFonts w:ascii="Cambria" w:hAnsi="Cambria" w:hint="default"/>
        <w:color w:val="EF4623" w:themeColor="accent1"/>
      </w:rPr>
    </w:lvl>
    <w:lvl w:ilvl="4">
      <w:start w:val="1"/>
      <w:numFmt w:val="bullet"/>
      <w:lvlText w:val="•"/>
      <w:lvlJc w:val="left"/>
      <w:pPr>
        <w:tabs>
          <w:tab w:val="num" w:pos="1728"/>
        </w:tabs>
        <w:ind w:left="1800" w:hanging="360"/>
      </w:pPr>
      <w:rPr>
        <w:rFonts w:ascii="Cambria" w:hAnsi="Cambria" w:hint="default"/>
        <w:color w:val="EF4623" w:themeColor="accent1"/>
      </w:rPr>
    </w:lvl>
    <w:lvl w:ilvl="5">
      <w:start w:val="1"/>
      <w:numFmt w:val="bullet"/>
      <w:lvlText w:val=""/>
      <w:lvlJc w:val="left"/>
      <w:pPr>
        <w:tabs>
          <w:tab w:val="num" w:pos="2088"/>
        </w:tabs>
        <w:ind w:left="2160" w:hanging="360"/>
      </w:pPr>
      <w:rPr>
        <w:rFonts w:ascii="Wingdings" w:hAnsi="Wingdings" w:hint="default"/>
        <w:color w:val="EF4623" w:themeColor="accent1"/>
      </w:rPr>
    </w:lvl>
    <w:lvl w:ilvl="6">
      <w:start w:val="1"/>
      <w:numFmt w:val="bullet"/>
      <w:lvlText w:val=""/>
      <w:lvlJc w:val="left"/>
      <w:pPr>
        <w:tabs>
          <w:tab w:val="num" w:pos="2448"/>
        </w:tabs>
        <w:ind w:left="2520" w:hanging="360"/>
      </w:pPr>
      <w:rPr>
        <w:rFonts w:ascii="Symbol" w:hAnsi="Symbol" w:hint="default"/>
        <w:color w:val="EF4623" w:themeColor="accent1"/>
      </w:rPr>
    </w:lvl>
    <w:lvl w:ilvl="7">
      <w:start w:val="1"/>
      <w:numFmt w:val="bullet"/>
      <w:lvlText w:val="o"/>
      <w:lvlJc w:val="left"/>
      <w:pPr>
        <w:tabs>
          <w:tab w:val="num" w:pos="2808"/>
        </w:tabs>
        <w:ind w:left="2880" w:hanging="360"/>
      </w:pPr>
      <w:rPr>
        <w:rFonts w:ascii="Courier New" w:hAnsi="Courier New" w:hint="default"/>
        <w:color w:val="EF4623" w:themeColor="accent1"/>
      </w:rPr>
    </w:lvl>
    <w:lvl w:ilvl="8">
      <w:start w:val="1"/>
      <w:numFmt w:val="bullet"/>
      <w:lvlText w:val=""/>
      <w:lvlJc w:val="left"/>
      <w:pPr>
        <w:tabs>
          <w:tab w:val="num" w:pos="3168"/>
        </w:tabs>
        <w:ind w:left="3240" w:hanging="360"/>
      </w:pPr>
      <w:rPr>
        <w:rFonts w:ascii="Wingdings" w:hAnsi="Wingdings" w:hint="default"/>
        <w:color w:val="EF4623" w:themeColor="accent1"/>
      </w:rPr>
    </w:lvl>
  </w:abstractNum>
  <w:abstractNum w:abstractNumId="13" w15:restartNumberingAfterBreak="0">
    <w:nsid w:val="6BAB4011"/>
    <w:multiLevelType w:val="hybridMultilevel"/>
    <w:tmpl w:val="34D8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0"/>
  </w:num>
  <w:num w:numId="5">
    <w:abstractNumId w:val="11"/>
  </w:num>
  <w:num w:numId="6">
    <w:abstractNumId w:val="13"/>
  </w:num>
  <w:num w:numId="7">
    <w:abstractNumId w:val="7"/>
  </w:num>
  <w:num w:numId="8">
    <w:abstractNumId w:val="3"/>
  </w:num>
  <w:num w:numId="9">
    <w:abstractNumId w:val="4"/>
  </w:num>
  <w:num w:numId="10">
    <w:abstractNumId w:val="5"/>
  </w:num>
  <w:num w:numId="11">
    <w:abstractNumId w:val="6"/>
  </w:num>
  <w:num w:numId="12">
    <w:abstractNumId w:val="0"/>
  </w:num>
  <w:num w:numId="13">
    <w:abstractNumId w:val="1"/>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5D"/>
    <w:rsid w:val="000208D1"/>
    <w:rsid w:val="00073BFC"/>
    <w:rsid w:val="000E7BC8"/>
    <w:rsid w:val="001169F6"/>
    <w:rsid w:val="001334B8"/>
    <w:rsid w:val="00184B35"/>
    <w:rsid w:val="001865F2"/>
    <w:rsid w:val="001C08EE"/>
    <w:rsid w:val="001F6F08"/>
    <w:rsid w:val="00247B7F"/>
    <w:rsid w:val="00277099"/>
    <w:rsid w:val="002878E2"/>
    <w:rsid w:val="002B5D8D"/>
    <w:rsid w:val="002C7FD4"/>
    <w:rsid w:val="002D3D02"/>
    <w:rsid w:val="002D4873"/>
    <w:rsid w:val="003234F4"/>
    <w:rsid w:val="00342438"/>
    <w:rsid w:val="0037604B"/>
    <w:rsid w:val="003944B5"/>
    <w:rsid w:val="003C646F"/>
    <w:rsid w:val="003E7E15"/>
    <w:rsid w:val="003F429C"/>
    <w:rsid w:val="00450AD6"/>
    <w:rsid w:val="00483F3B"/>
    <w:rsid w:val="004918D9"/>
    <w:rsid w:val="004C3455"/>
    <w:rsid w:val="004D7726"/>
    <w:rsid w:val="005142D3"/>
    <w:rsid w:val="00545D29"/>
    <w:rsid w:val="00550A89"/>
    <w:rsid w:val="00552BE6"/>
    <w:rsid w:val="00577305"/>
    <w:rsid w:val="00580621"/>
    <w:rsid w:val="005C2E0B"/>
    <w:rsid w:val="005E14C6"/>
    <w:rsid w:val="005E26B3"/>
    <w:rsid w:val="005F0B2C"/>
    <w:rsid w:val="0062299F"/>
    <w:rsid w:val="00647D39"/>
    <w:rsid w:val="00760843"/>
    <w:rsid w:val="00782AA6"/>
    <w:rsid w:val="007838E1"/>
    <w:rsid w:val="007B0DFA"/>
    <w:rsid w:val="007B3C63"/>
    <w:rsid w:val="007D4155"/>
    <w:rsid w:val="007E5E59"/>
    <w:rsid w:val="007F4531"/>
    <w:rsid w:val="00823D33"/>
    <w:rsid w:val="00855406"/>
    <w:rsid w:val="008952F1"/>
    <w:rsid w:val="008A1B1C"/>
    <w:rsid w:val="008A279A"/>
    <w:rsid w:val="008B46AB"/>
    <w:rsid w:val="008B4A2C"/>
    <w:rsid w:val="008E0A3F"/>
    <w:rsid w:val="008E707B"/>
    <w:rsid w:val="008F6D55"/>
    <w:rsid w:val="009210A6"/>
    <w:rsid w:val="00924378"/>
    <w:rsid w:val="0092701D"/>
    <w:rsid w:val="00927FA2"/>
    <w:rsid w:val="00933524"/>
    <w:rsid w:val="00944D7A"/>
    <w:rsid w:val="009521BF"/>
    <w:rsid w:val="009943A9"/>
    <w:rsid w:val="009A0F76"/>
    <w:rsid w:val="009C791E"/>
    <w:rsid w:val="009D78ED"/>
    <w:rsid w:val="009E37AE"/>
    <w:rsid w:val="00A0301E"/>
    <w:rsid w:val="00A03BCD"/>
    <w:rsid w:val="00A23E53"/>
    <w:rsid w:val="00A346A4"/>
    <w:rsid w:val="00A451C9"/>
    <w:rsid w:val="00A4567B"/>
    <w:rsid w:val="00A66C7D"/>
    <w:rsid w:val="00AC343A"/>
    <w:rsid w:val="00B04A7E"/>
    <w:rsid w:val="00B22AC3"/>
    <w:rsid w:val="00B24FE5"/>
    <w:rsid w:val="00B32D93"/>
    <w:rsid w:val="00B9512E"/>
    <w:rsid w:val="00BB3DC2"/>
    <w:rsid w:val="00BC682C"/>
    <w:rsid w:val="00BF435D"/>
    <w:rsid w:val="00C00196"/>
    <w:rsid w:val="00C50FEA"/>
    <w:rsid w:val="00C6658F"/>
    <w:rsid w:val="00C82367"/>
    <w:rsid w:val="00D10587"/>
    <w:rsid w:val="00DB6FE3"/>
    <w:rsid w:val="00DF1CFA"/>
    <w:rsid w:val="00E14419"/>
    <w:rsid w:val="00E24613"/>
    <w:rsid w:val="00E44ABE"/>
    <w:rsid w:val="00E6016B"/>
    <w:rsid w:val="00E66EB3"/>
    <w:rsid w:val="00E76125"/>
    <w:rsid w:val="00E94B95"/>
    <w:rsid w:val="00EB40B9"/>
    <w:rsid w:val="00EF64C7"/>
    <w:rsid w:val="00F41FA2"/>
    <w:rsid w:val="00F51233"/>
    <w:rsid w:val="00F6071C"/>
    <w:rsid w:val="00F61DC8"/>
    <w:rsid w:val="00F74EBA"/>
    <w:rsid w:val="00FA21A2"/>
    <w:rsid w:val="00FB53E4"/>
    <w:rsid w:val="00FE0D74"/>
    <w:rsid w:val="00FE3D2C"/>
    <w:rsid w:val="00FE420C"/>
    <w:rsid w:val="00FF15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988E9"/>
  <w15:docId w15:val="{60B569B5-D273-6147-9F23-54A419AD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1BF"/>
    <w:pPr>
      <w:spacing w:after="200" w:line="264" w:lineRule="auto"/>
    </w:pPr>
    <w:rPr>
      <w:sz w:val="24"/>
    </w:rPr>
  </w:style>
  <w:style w:type="paragraph" w:styleId="Heading1">
    <w:name w:val="heading 1"/>
    <w:basedOn w:val="Normal"/>
    <w:next w:val="Normal"/>
    <w:link w:val="Heading1Char"/>
    <w:uiPriority w:val="7"/>
    <w:qFormat/>
    <w:rsid w:val="00DB6FE3"/>
    <w:pPr>
      <w:pageBreakBefore/>
      <w:pBdr>
        <w:bottom w:val="single" w:sz="8" w:space="1" w:color="auto"/>
      </w:pBdr>
      <w:spacing w:before="480" w:after="120" w:line="240" w:lineRule="auto"/>
      <w:outlineLvl w:val="0"/>
    </w:pPr>
    <w:rPr>
      <w:rFonts w:asciiTheme="majorHAnsi" w:eastAsiaTheme="majorEastAsia" w:hAnsiTheme="majorHAnsi" w:cstheme="majorBidi"/>
      <w:b/>
      <w:bCs/>
      <w:color w:val="0070C0"/>
      <w:sz w:val="40"/>
    </w:rPr>
  </w:style>
  <w:style w:type="paragraph" w:styleId="Heading2">
    <w:name w:val="heading 2"/>
    <w:basedOn w:val="Normal"/>
    <w:next w:val="Normal"/>
    <w:link w:val="Heading2Char"/>
    <w:uiPriority w:val="7"/>
    <w:unhideWhenUsed/>
    <w:qFormat/>
    <w:rsid w:val="009521BF"/>
    <w:pPr>
      <w:keepNext/>
      <w:keepLines/>
      <w:spacing w:before="240" w:after="12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uiPriority w:val="7"/>
    <w:unhideWhenUsed/>
    <w:qFormat/>
    <w:rsid w:val="00A23E53"/>
    <w:pPr>
      <w:keepNext/>
      <w:keepLines/>
      <w:spacing w:before="240" w:after="120"/>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4C6"/>
    <w:pPr>
      <w:spacing w:after="0" w:line="240" w:lineRule="auto"/>
      <w:ind w:left="29" w:right="144"/>
    </w:pPr>
    <w:rPr>
      <w:color w:val="0070C0"/>
      <w:sz w:val="20"/>
    </w:rPr>
  </w:style>
  <w:style w:type="character" w:customStyle="1" w:styleId="FooterChar">
    <w:name w:val="Footer Char"/>
    <w:basedOn w:val="DefaultParagraphFont"/>
    <w:link w:val="Footer"/>
    <w:uiPriority w:val="99"/>
    <w:rsid w:val="005E14C6"/>
    <w:rPr>
      <w:color w:val="0070C0"/>
    </w:rPr>
  </w:style>
  <w:style w:type="paragraph" w:styleId="Subtitle">
    <w:name w:val="Subtitle"/>
    <w:basedOn w:val="Normal"/>
    <w:link w:val="SubtitleChar"/>
    <w:uiPriority w:val="2"/>
    <w:unhideWhenUsed/>
    <w:qFormat/>
    <w:rsid w:val="00483F3B"/>
    <w:pPr>
      <w:numPr>
        <w:ilvl w:val="1"/>
      </w:numPr>
      <w:spacing w:before="40" w:after="160" w:line="288" w:lineRule="auto"/>
      <w:ind w:left="-2203" w:right="720"/>
    </w:pPr>
    <w:rPr>
      <w:rFonts w:asciiTheme="majorHAnsi" w:eastAsiaTheme="majorEastAsia" w:hAnsiTheme="majorHAnsi" w:cstheme="majorBidi"/>
      <w:bCs/>
      <w:color w:val="000000" w:themeColor="text1"/>
      <w:kern w:val="20"/>
      <w:sz w:val="36"/>
    </w:rPr>
  </w:style>
  <w:style w:type="paragraph" w:customStyle="1" w:styleId="Page">
    <w:name w:val="Page"/>
    <w:basedOn w:val="Normal"/>
    <w:next w:val="Normal"/>
    <w:uiPriority w:val="97"/>
    <w:unhideWhenUsed/>
    <w:qFormat/>
    <w:pPr>
      <w:spacing w:after="40" w:line="240" w:lineRule="auto"/>
    </w:pPr>
    <w:rPr>
      <w:color w:val="000000" w:themeColor="text1"/>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sid w:val="00A23E53"/>
    <w:rPr>
      <w:rFonts w:asciiTheme="majorHAnsi" w:eastAsiaTheme="majorEastAsia" w:hAnsiTheme="majorHAnsi" w:cstheme="majorBidi"/>
      <w:b/>
      <w:color w:val="000000" w:themeColor="text1"/>
      <w:sz w:val="26"/>
      <w:szCs w:val="24"/>
    </w:rPr>
  </w:style>
  <w:style w:type="paragraph" w:styleId="Title">
    <w:name w:val="Title"/>
    <w:basedOn w:val="Normal"/>
    <w:link w:val="TitleChar"/>
    <w:uiPriority w:val="1"/>
    <w:qFormat/>
    <w:rsid w:val="00DB6FE3"/>
    <w:pPr>
      <w:spacing w:before="1360" w:after="0" w:line="240" w:lineRule="auto"/>
      <w:ind w:left="-2347"/>
      <w:contextualSpacing/>
    </w:pPr>
    <w:rPr>
      <w:rFonts w:asciiTheme="majorHAnsi" w:eastAsiaTheme="majorEastAsia" w:hAnsiTheme="majorHAnsi" w:cstheme="majorBidi"/>
      <w:b/>
      <w:bCs/>
      <w:color w:val="0070C0"/>
      <w:sz w:val="48"/>
    </w:rPr>
  </w:style>
  <w:style w:type="character" w:customStyle="1" w:styleId="TitleChar">
    <w:name w:val="Title Char"/>
    <w:basedOn w:val="DefaultParagraphFont"/>
    <w:link w:val="Title"/>
    <w:uiPriority w:val="1"/>
    <w:rsid w:val="00DB6FE3"/>
    <w:rPr>
      <w:rFonts w:asciiTheme="majorHAnsi" w:eastAsiaTheme="majorEastAsia" w:hAnsiTheme="majorHAnsi" w:cstheme="majorBidi"/>
      <w:b/>
      <w:bCs/>
      <w:color w:val="0070C0"/>
      <w:sz w:val="48"/>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483F3B"/>
    <w:rPr>
      <w:rFonts w:asciiTheme="majorHAnsi" w:eastAsiaTheme="majorEastAsia" w:hAnsiTheme="majorHAnsi" w:cstheme="majorBidi"/>
      <w:bCs/>
      <w:color w:val="000000" w:themeColor="text1"/>
      <w:kern w:val="20"/>
      <w:sz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after="0" w:line="240" w:lineRule="auto"/>
      <w:ind w:left="29" w:right="144"/>
    </w:pPr>
    <w:rPr>
      <w:color w:val="BF2B0E" w:themeColor="accent1" w:themeShade="BF"/>
    </w:rPr>
  </w:style>
  <w:style w:type="paragraph" w:styleId="TOC1">
    <w:name w:val="toc 1"/>
    <w:basedOn w:val="Normal"/>
    <w:next w:val="Normal"/>
    <w:autoRedefine/>
    <w:uiPriority w:val="39"/>
    <w:unhideWhenUsed/>
    <w:pPr>
      <w:spacing w:before="120" w:after="0"/>
    </w:pPr>
    <w:rPr>
      <w:rFonts w:cstheme="minorHAnsi"/>
      <w:b/>
      <w:bCs/>
      <w:szCs w:val="24"/>
    </w:rPr>
  </w:style>
  <w:style w:type="character" w:customStyle="1" w:styleId="Heading1Char">
    <w:name w:val="Heading 1 Char"/>
    <w:basedOn w:val="DefaultParagraphFont"/>
    <w:link w:val="Heading1"/>
    <w:uiPriority w:val="7"/>
    <w:rsid w:val="00DB6FE3"/>
    <w:rPr>
      <w:rFonts w:asciiTheme="majorHAnsi" w:eastAsiaTheme="majorEastAsia" w:hAnsiTheme="majorHAnsi" w:cstheme="majorBidi"/>
      <w:b/>
      <w:bCs/>
      <w:color w:val="0070C0"/>
      <w:sz w:val="40"/>
    </w:rPr>
  </w:style>
  <w:style w:type="paragraph" w:styleId="TOCHeading">
    <w:name w:val="TOC Heading"/>
    <w:basedOn w:val="Heading1"/>
    <w:next w:val="Normal"/>
    <w:uiPriority w:val="39"/>
    <w:unhideWhenUsed/>
    <w:qFormat/>
    <w:rsid w:val="00DB6FE3"/>
    <w:pPr>
      <w:pBdr>
        <w:bottom w:val="none" w:sz="0" w:space="0" w:color="auto"/>
      </w:pBdr>
      <w:spacing w:before="0" w:after="360"/>
      <w:outlineLvl w:val="9"/>
    </w:pPr>
    <w:rPr>
      <w:kern w:val="20"/>
      <w:sz w:val="44"/>
    </w:rPr>
  </w:style>
  <w:style w:type="character" w:customStyle="1" w:styleId="Heading2Char">
    <w:name w:val="Heading 2 Char"/>
    <w:basedOn w:val="DefaultParagraphFont"/>
    <w:link w:val="Heading2"/>
    <w:uiPriority w:val="7"/>
    <w:rsid w:val="009521BF"/>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B6FE3"/>
    <w:pPr>
      <w:spacing w:before="360" w:after="600" w:line="360" w:lineRule="auto"/>
      <w:ind w:left="-2347"/>
    </w:pPr>
    <w:rPr>
      <w:i/>
      <w:iCs/>
      <w:color w:val="0070C0"/>
      <w:kern w:val="20"/>
    </w:rPr>
  </w:style>
  <w:style w:type="character" w:customStyle="1" w:styleId="QuoteChar">
    <w:name w:val="Quote Char"/>
    <w:basedOn w:val="DefaultParagraphFont"/>
    <w:link w:val="Quote"/>
    <w:uiPriority w:val="3"/>
    <w:rsid w:val="00DB6FE3"/>
    <w:rPr>
      <w:i/>
      <w:iCs/>
      <w:color w:val="0070C0"/>
      <w:kern w:val="20"/>
      <w:sz w:val="24"/>
    </w:rPr>
  </w:style>
  <w:style w:type="paragraph" w:styleId="Signature">
    <w:name w:val="Signature"/>
    <w:basedOn w:val="Normal"/>
    <w:link w:val="SignatureChar"/>
    <w:uiPriority w:val="8"/>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8"/>
    <w:rsid w:val="00944D7A"/>
    <w:rPr>
      <w:color w:val="595959" w:themeColor="text1" w:themeTint="A6"/>
      <w:kern w:val="20"/>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5C2E0B"/>
    <w:pPr>
      <w:numPr>
        <w:numId w:val="2"/>
      </w:numPr>
      <w:spacing w:before="40" w:after="40" w:line="288" w:lineRule="auto"/>
      <w:ind w:left="360"/>
    </w:pPr>
    <w:rPr>
      <w:color w:val="595959" w:themeColor="text1" w:themeTint="A6"/>
      <w:szCs w:val="22"/>
      <w:lang w:eastAsia="en-US"/>
    </w:rPr>
  </w:style>
  <w:style w:type="paragraph" w:styleId="ListNumber">
    <w:name w:val="List Number"/>
    <w:basedOn w:val="Normal"/>
    <w:uiPriority w:val="9"/>
    <w:unhideWhenUsed/>
    <w:qFormat/>
    <w:rsid w:val="00944D7A"/>
    <w:pPr>
      <w:numPr>
        <w:numId w:val="1"/>
      </w:numPr>
      <w:spacing w:before="40" w:after="160" w:line="288" w:lineRule="auto"/>
      <w:contextualSpacing/>
    </w:pPr>
    <w:rPr>
      <w:color w:val="595959" w:themeColor="text1" w:themeTint="A6"/>
      <w:kern w:val="20"/>
    </w:rPr>
  </w:style>
  <w:style w:type="paragraph" w:styleId="ListNumber2">
    <w:name w:val="List Number 2"/>
    <w:basedOn w:val="Normal"/>
    <w:uiPriority w:val="10"/>
    <w:qFormat/>
    <w:rsid w:val="001865F2"/>
    <w:pPr>
      <w:numPr>
        <w:ilvl w:val="1"/>
        <w:numId w:val="1"/>
      </w:numPr>
      <w:contextualSpacing/>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BF2B0E"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BF2B0E" w:themeColor="accent1" w:themeShade="BF"/>
        <w:bottom w:val="single" w:sz="4" w:space="10" w:color="BF2B0E" w:themeColor="accent1" w:themeShade="BF"/>
      </w:pBdr>
      <w:spacing w:before="360" w:after="360"/>
      <w:ind w:left="864" w:right="864"/>
      <w:jc w:val="center"/>
    </w:pPr>
    <w:rPr>
      <w:i/>
      <w:iCs/>
      <w:color w:val="BF2B0E" w:themeColor="accent1" w:themeShade="BF"/>
    </w:rPr>
  </w:style>
  <w:style w:type="character" w:customStyle="1" w:styleId="IntenseQuoteChar">
    <w:name w:val="Intense Quote Char"/>
    <w:basedOn w:val="DefaultParagraphFont"/>
    <w:link w:val="IntenseQuote"/>
    <w:uiPriority w:val="30"/>
    <w:semiHidden/>
    <w:rsid w:val="00FE3D2C"/>
    <w:rPr>
      <w:i/>
      <w:iCs/>
      <w:color w:val="BF2B0E" w:themeColor="accent1" w:themeShade="BF"/>
    </w:rPr>
  </w:style>
  <w:style w:type="paragraph" w:customStyle="1" w:styleId="Sidebar">
    <w:name w:val="Sidebar"/>
    <w:basedOn w:val="Normal"/>
    <w:link w:val="SidebarChar"/>
    <w:uiPriority w:val="8"/>
    <w:qFormat/>
    <w:rsid w:val="005E14C6"/>
    <w:pPr>
      <w:spacing w:before="240" w:after="240" w:line="288" w:lineRule="auto"/>
    </w:pPr>
    <w:rPr>
      <w:i/>
      <w:color w:val="0070C0"/>
    </w:rPr>
  </w:style>
  <w:style w:type="character" w:customStyle="1" w:styleId="SidebarChar">
    <w:name w:val="Sidebar Char"/>
    <w:basedOn w:val="DefaultParagraphFont"/>
    <w:link w:val="Sidebar"/>
    <w:uiPriority w:val="8"/>
    <w:rsid w:val="005E14C6"/>
    <w:rPr>
      <w:i/>
      <w:color w:val="0070C0"/>
      <w:sz w:val="24"/>
    </w:rPr>
  </w:style>
  <w:style w:type="character" w:styleId="PageNumber">
    <w:name w:val="page number"/>
    <w:basedOn w:val="DefaultParagraphFont"/>
    <w:uiPriority w:val="99"/>
    <w:semiHidden/>
    <w:unhideWhenUsed/>
    <w:rsid w:val="000E7BC8"/>
  </w:style>
  <w:style w:type="paragraph" w:styleId="NormalWeb">
    <w:name w:val="Normal (Web)"/>
    <w:basedOn w:val="Normal"/>
    <w:uiPriority w:val="99"/>
    <w:unhideWhenUsed/>
    <w:rsid w:val="00E76125"/>
    <w:pPr>
      <w:spacing w:before="100" w:beforeAutospacing="1" w:after="100" w:afterAutospacing="1" w:line="240" w:lineRule="auto"/>
    </w:pPr>
    <w:rPr>
      <w:rFonts w:ascii="Times New Roman" w:hAnsi="Times New Roman" w:cs="Times New Roman"/>
      <w:color w:val="auto"/>
      <w:szCs w:val="24"/>
      <w:lang w:eastAsia="en-US"/>
    </w:rPr>
  </w:style>
  <w:style w:type="character" w:styleId="Hyperlink">
    <w:name w:val="Hyperlink"/>
    <w:basedOn w:val="DefaultParagraphFont"/>
    <w:uiPriority w:val="99"/>
    <w:unhideWhenUsed/>
    <w:rsid w:val="00E76125"/>
    <w:rPr>
      <w:color w:val="0000FF"/>
      <w:u w:val="single"/>
    </w:rPr>
  </w:style>
  <w:style w:type="paragraph" w:customStyle="1" w:styleId="RepositoryInfo">
    <w:name w:val="Repository Info"/>
    <w:basedOn w:val="NormalWeb"/>
    <w:qFormat/>
    <w:rsid w:val="00E76125"/>
    <w:pPr>
      <w:shd w:val="clear" w:color="auto" w:fill="FFFFFF"/>
      <w:spacing w:before="160" w:beforeAutospacing="0" w:after="0" w:afterAutospacing="0" w:line="288" w:lineRule="auto"/>
    </w:pPr>
    <w:rPr>
      <w:rFonts w:ascii="Arial" w:hAnsi="Arial" w:cs="Arial"/>
      <w:bCs/>
      <w:color w:val="333333"/>
      <w:sz w:val="20"/>
      <w:szCs w:val="20"/>
    </w:rPr>
  </w:style>
  <w:style w:type="paragraph" w:styleId="FootnoteText">
    <w:name w:val="footnote text"/>
    <w:basedOn w:val="Normal"/>
    <w:link w:val="FootnoteTextChar"/>
    <w:uiPriority w:val="99"/>
    <w:unhideWhenUsed/>
    <w:rsid w:val="00A4567B"/>
    <w:pPr>
      <w:spacing w:after="0" w:line="240" w:lineRule="auto"/>
      <w:ind w:left="288" w:hanging="288"/>
    </w:pPr>
    <w:rPr>
      <w:sz w:val="22"/>
      <w:szCs w:val="24"/>
    </w:rPr>
  </w:style>
  <w:style w:type="character" w:customStyle="1" w:styleId="FootnoteTextChar">
    <w:name w:val="Footnote Text Char"/>
    <w:basedOn w:val="DefaultParagraphFont"/>
    <w:link w:val="FootnoteText"/>
    <w:uiPriority w:val="99"/>
    <w:rsid w:val="00A4567B"/>
    <w:rPr>
      <w:sz w:val="22"/>
      <w:szCs w:val="24"/>
    </w:rPr>
  </w:style>
  <w:style w:type="character" w:styleId="FootnoteReference">
    <w:name w:val="footnote reference"/>
    <w:basedOn w:val="DefaultParagraphFont"/>
    <w:uiPriority w:val="99"/>
    <w:unhideWhenUsed/>
    <w:rsid w:val="009521BF"/>
    <w:rPr>
      <w:vertAlign w:val="superscript"/>
    </w:rPr>
  </w:style>
  <w:style w:type="paragraph" w:styleId="ListParagraph">
    <w:name w:val="List Paragraph"/>
    <w:basedOn w:val="Normal"/>
    <w:uiPriority w:val="34"/>
    <w:semiHidden/>
    <w:qFormat/>
    <w:rsid w:val="005F0B2C"/>
    <w:pPr>
      <w:ind w:left="720"/>
      <w:contextualSpacing/>
    </w:pPr>
  </w:style>
  <w:style w:type="paragraph" w:styleId="TOC2">
    <w:name w:val="toc 2"/>
    <w:basedOn w:val="Normal"/>
    <w:next w:val="Normal"/>
    <w:autoRedefine/>
    <w:uiPriority w:val="39"/>
    <w:unhideWhenUsed/>
    <w:rsid w:val="00C82367"/>
    <w:pPr>
      <w:spacing w:after="0"/>
      <w:ind w:left="240"/>
    </w:pPr>
    <w:rPr>
      <w:rFonts w:cstheme="minorHAnsi"/>
      <w:b/>
      <w:bCs/>
      <w:sz w:val="22"/>
      <w:szCs w:val="22"/>
    </w:rPr>
  </w:style>
  <w:style w:type="paragraph" w:styleId="TOC3">
    <w:name w:val="toc 3"/>
    <w:basedOn w:val="Normal"/>
    <w:next w:val="Normal"/>
    <w:autoRedefine/>
    <w:uiPriority w:val="39"/>
    <w:unhideWhenUsed/>
    <w:rsid w:val="00C82367"/>
    <w:pPr>
      <w:spacing w:after="0"/>
      <w:ind w:left="480"/>
    </w:pPr>
    <w:rPr>
      <w:rFonts w:cstheme="minorHAnsi"/>
      <w:sz w:val="22"/>
      <w:szCs w:val="22"/>
    </w:rPr>
  </w:style>
  <w:style w:type="paragraph" w:styleId="TOC4">
    <w:name w:val="toc 4"/>
    <w:basedOn w:val="Normal"/>
    <w:next w:val="Normal"/>
    <w:autoRedefine/>
    <w:uiPriority w:val="39"/>
    <w:unhideWhenUsed/>
    <w:rsid w:val="00C82367"/>
    <w:pPr>
      <w:spacing w:after="0"/>
      <w:ind w:left="720"/>
    </w:pPr>
    <w:rPr>
      <w:rFonts w:cstheme="minorHAnsi"/>
      <w:sz w:val="20"/>
    </w:rPr>
  </w:style>
  <w:style w:type="paragraph" w:styleId="TOC5">
    <w:name w:val="toc 5"/>
    <w:basedOn w:val="Normal"/>
    <w:next w:val="Normal"/>
    <w:autoRedefine/>
    <w:uiPriority w:val="39"/>
    <w:unhideWhenUsed/>
    <w:rsid w:val="00C82367"/>
    <w:pPr>
      <w:spacing w:after="0"/>
      <w:ind w:left="960"/>
    </w:pPr>
    <w:rPr>
      <w:rFonts w:cstheme="minorHAnsi"/>
      <w:sz w:val="20"/>
    </w:rPr>
  </w:style>
  <w:style w:type="paragraph" w:styleId="TOC6">
    <w:name w:val="toc 6"/>
    <w:basedOn w:val="Normal"/>
    <w:next w:val="Normal"/>
    <w:autoRedefine/>
    <w:uiPriority w:val="39"/>
    <w:unhideWhenUsed/>
    <w:rsid w:val="00C82367"/>
    <w:pPr>
      <w:spacing w:after="0"/>
      <w:ind w:left="1200"/>
    </w:pPr>
    <w:rPr>
      <w:rFonts w:cstheme="minorHAnsi"/>
      <w:sz w:val="20"/>
    </w:rPr>
  </w:style>
  <w:style w:type="paragraph" w:styleId="TOC7">
    <w:name w:val="toc 7"/>
    <w:basedOn w:val="Normal"/>
    <w:next w:val="Normal"/>
    <w:autoRedefine/>
    <w:uiPriority w:val="39"/>
    <w:unhideWhenUsed/>
    <w:rsid w:val="00C82367"/>
    <w:pPr>
      <w:spacing w:after="0"/>
      <w:ind w:left="1440"/>
    </w:pPr>
    <w:rPr>
      <w:rFonts w:cstheme="minorHAnsi"/>
      <w:sz w:val="20"/>
    </w:rPr>
  </w:style>
  <w:style w:type="paragraph" w:styleId="TOC8">
    <w:name w:val="toc 8"/>
    <w:basedOn w:val="Normal"/>
    <w:next w:val="Normal"/>
    <w:autoRedefine/>
    <w:uiPriority w:val="39"/>
    <w:unhideWhenUsed/>
    <w:rsid w:val="00C82367"/>
    <w:pPr>
      <w:spacing w:after="0"/>
      <w:ind w:left="1680"/>
    </w:pPr>
    <w:rPr>
      <w:rFonts w:cstheme="minorHAnsi"/>
      <w:sz w:val="20"/>
    </w:rPr>
  </w:style>
  <w:style w:type="paragraph" w:styleId="TOC9">
    <w:name w:val="toc 9"/>
    <w:basedOn w:val="Normal"/>
    <w:next w:val="Normal"/>
    <w:autoRedefine/>
    <w:uiPriority w:val="39"/>
    <w:unhideWhenUsed/>
    <w:rsid w:val="00C82367"/>
    <w:pPr>
      <w:spacing w:after="0"/>
      <w:ind w:left="1920"/>
    </w:pPr>
    <w:rPr>
      <w:rFonts w:cstheme="minorHAnsi"/>
      <w:sz w:val="20"/>
    </w:rPr>
  </w:style>
  <w:style w:type="character" w:styleId="FollowedHyperlink">
    <w:name w:val="FollowedHyperlink"/>
    <w:basedOn w:val="DefaultParagraphFont"/>
    <w:uiPriority w:val="99"/>
    <w:semiHidden/>
    <w:unhideWhenUsed/>
    <w:rsid w:val="00647D39"/>
    <w:rPr>
      <w:color w:val="919191" w:themeColor="followedHyperlink"/>
      <w:u w:val="single"/>
    </w:rPr>
  </w:style>
  <w:style w:type="paragraph" w:customStyle="1" w:styleId="p1">
    <w:name w:val="p1"/>
    <w:basedOn w:val="Normal"/>
    <w:rsid w:val="00A4567B"/>
    <w:pPr>
      <w:spacing w:after="0" w:line="225" w:lineRule="atLeast"/>
    </w:pPr>
    <w:rPr>
      <w:rFonts w:ascii="Arial" w:hAnsi="Arial" w:cs="Arial"/>
      <w:color w:val="000000"/>
      <w:sz w:val="20"/>
      <w:lang w:eastAsia="en-US"/>
    </w:rPr>
  </w:style>
  <w:style w:type="character" w:customStyle="1" w:styleId="s1">
    <w:name w:val="s1"/>
    <w:basedOn w:val="DefaultParagraphFont"/>
    <w:rsid w:val="00A4567B"/>
  </w:style>
  <w:style w:type="character" w:customStyle="1" w:styleId="apple-converted-space">
    <w:name w:val="apple-converted-space"/>
    <w:basedOn w:val="DefaultParagraphFont"/>
    <w:rsid w:val="00A4567B"/>
  </w:style>
  <w:style w:type="character" w:customStyle="1" w:styleId="s2">
    <w:name w:val="s2"/>
    <w:basedOn w:val="DefaultParagraphFont"/>
    <w:rsid w:val="00A456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836">
      <w:bodyDiv w:val="1"/>
      <w:marLeft w:val="0"/>
      <w:marRight w:val="0"/>
      <w:marTop w:val="0"/>
      <w:marBottom w:val="0"/>
      <w:divBdr>
        <w:top w:val="none" w:sz="0" w:space="0" w:color="auto"/>
        <w:left w:val="none" w:sz="0" w:space="0" w:color="auto"/>
        <w:bottom w:val="none" w:sz="0" w:space="0" w:color="auto"/>
        <w:right w:val="none" w:sz="0" w:space="0" w:color="auto"/>
      </w:divBdr>
    </w:div>
    <w:div w:id="162623728">
      <w:bodyDiv w:val="1"/>
      <w:marLeft w:val="0"/>
      <w:marRight w:val="0"/>
      <w:marTop w:val="0"/>
      <w:marBottom w:val="0"/>
      <w:divBdr>
        <w:top w:val="none" w:sz="0" w:space="0" w:color="auto"/>
        <w:left w:val="none" w:sz="0" w:space="0" w:color="auto"/>
        <w:bottom w:val="none" w:sz="0" w:space="0" w:color="auto"/>
        <w:right w:val="none" w:sz="0" w:space="0" w:color="auto"/>
      </w:divBdr>
    </w:div>
    <w:div w:id="310211240">
      <w:bodyDiv w:val="1"/>
      <w:marLeft w:val="0"/>
      <w:marRight w:val="0"/>
      <w:marTop w:val="0"/>
      <w:marBottom w:val="0"/>
      <w:divBdr>
        <w:top w:val="none" w:sz="0" w:space="0" w:color="auto"/>
        <w:left w:val="none" w:sz="0" w:space="0" w:color="auto"/>
        <w:bottom w:val="none" w:sz="0" w:space="0" w:color="auto"/>
        <w:right w:val="none" w:sz="0" w:space="0" w:color="auto"/>
      </w:divBdr>
    </w:div>
    <w:div w:id="383721172">
      <w:bodyDiv w:val="1"/>
      <w:marLeft w:val="0"/>
      <w:marRight w:val="0"/>
      <w:marTop w:val="0"/>
      <w:marBottom w:val="0"/>
      <w:divBdr>
        <w:top w:val="none" w:sz="0" w:space="0" w:color="auto"/>
        <w:left w:val="none" w:sz="0" w:space="0" w:color="auto"/>
        <w:bottom w:val="none" w:sz="0" w:space="0" w:color="auto"/>
        <w:right w:val="none" w:sz="0" w:space="0" w:color="auto"/>
      </w:divBdr>
    </w:div>
    <w:div w:id="393821994">
      <w:bodyDiv w:val="1"/>
      <w:marLeft w:val="0"/>
      <w:marRight w:val="0"/>
      <w:marTop w:val="0"/>
      <w:marBottom w:val="0"/>
      <w:divBdr>
        <w:top w:val="none" w:sz="0" w:space="0" w:color="auto"/>
        <w:left w:val="none" w:sz="0" w:space="0" w:color="auto"/>
        <w:bottom w:val="none" w:sz="0" w:space="0" w:color="auto"/>
        <w:right w:val="none" w:sz="0" w:space="0" w:color="auto"/>
      </w:divBdr>
    </w:div>
    <w:div w:id="548497213">
      <w:bodyDiv w:val="1"/>
      <w:marLeft w:val="0"/>
      <w:marRight w:val="0"/>
      <w:marTop w:val="0"/>
      <w:marBottom w:val="0"/>
      <w:divBdr>
        <w:top w:val="none" w:sz="0" w:space="0" w:color="auto"/>
        <w:left w:val="none" w:sz="0" w:space="0" w:color="auto"/>
        <w:bottom w:val="none" w:sz="0" w:space="0" w:color="auto"/>
        <w:right w:val="none" w:sz="0" w:space="0" w:color="auto"/>
      </w:divBdr>
    </w:div>
    <w:div w:id="641498546">
      <w:bodyDiv w:val="1"/>
      <w:marLeft w:val="0"/>
      <w:marRight w:val="0"/>
      <w:marTop w:val="0"/>
      <w:marBottom w:val="0"/>
      <w:divBdr>
        <w:top w:val="none" w:sz="0" w:space="0" w:color="auto"/>
        <w:left w:val="none" w:sz="0" w:space="0" w:color="auto"/>
        <w:bottom w:val="none" w:sz="0" w:space="0" w:color="auto"/>
        <w:right w:val="none" w:sz="0" w:space="0" w:color="auto"/>
      </w:divBdr>
    </w:div>
    <w:div w:id="69981728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02639902">
      <w:bodyDiv w:val="1"/>
      <w:marLeft w:val="0"/>
      <w:marRight w:val="0"/>
      <w:marTop w:val="0"/>
      <w:marBottom w:val="0"/>
      <w:divBdr>
        <w:top w:val="none" w:sz="0" w:space="0" w:color="auto"/>
        <w:left w:val="none" w:sz="0" w:space="0" w:color="auto"/>
        <w:bottom w:val="none" w:sz="0" w:space="0" w:color="auto"/>
        <w:right w:val="none" w:sz="0" w:space="0" w:color="auto"/>
      </w:divBdr>
    </w:div>
    <w:div w:id="1064254814">
      <w:bodyDiv w:val="1"/>
      <w:marLeft w:val="0"/>
      <w:marRight w:val="0"/>
      <w:marTop w:val="0"/>
      <w:marBottom w:val="0"/>
      <w:divBdr>
        <w:top w:val="none" w:sz="0" w:space="0" w:color="auto"/>
        <w:left w:val="none" w:sz="0" w:space="0" w:color="auto"/>
        <w:bottom w:val="none" w:sz="0" w:space="0" w:color="auto"/>
        <w:right w:val="none" w:sz="0" w:space="0" w:color="auto"/>
      </w:divBdr>
    </w:div>
    <w:div w:id="1108042758">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34722967">
      <w:bodyDiv w:val="1"/>
      <w:marLeft w:val="0"/>
      <w:marRight w:val="0"/>
      <w:marTop w:val="0"/>
      <w:marBottom w:val="0"/>
      <w:divBdr>
        <w:top w:val="none" w:sz="0" w:space="0" w:color="auto"/>
        <w:left w:val="none" w:sz="0" w:space="0" w:color="auto"/>
        <w:bottom w:val="none" w:sz="0" w:space="0" w:color="auto"/>
        <w:right w:val="none" w:sz="0" w:space="0" w:color="auto"/>
      </w:divBdr>
    </w:div>
    <w:div w:id="1359696045">
      <w:bodyDiv w:val="1"/>
      <w:marLeft w:val="0"/>
      <w:marRight w:val="0"/>
      <w:marTop w:val="0"/>
      <w:marBottom w:val="0"/>
      <w:divBdr>
        <w:top w:val="none" w:sz="0" w:space="0" w:color="auto"/>
        <w:left w:val="none" w:sz="0" w:space="0" w:color="auto"/>
        <w:bottom w:val="none" w:sz="0" w:space="0" w:color="auto"/>
        <w:right w:val="none" w:sz="0" w:space="0" w:color="auto"/>
      </w:divBdr>
    </w:div>
    <w:div w:id="1472281747">
      <w:bodyDiv w:val="1"/>
      <w:marLeft w:val="0"/>
      <w:marRight w:val="0"/>
      <w:marTop w:val="0"/>
      <w:marBottom w:val="0"/>
      <w:divBdr>
        <w:top w:val="none" w:sz="0" w:space="0" w:color="auto"/>
        <w:left w:val="none" w:sz="0" w:space="0" w:color="auto"/>
        <w:bottom w:val="none" w:sz="0" w:space="0" w:color="auto"/>
        <w:right w:val="none" w:sz="0" w:space="0" w:color="auto"/>
      </w:divBdr>
    </w:div>
    <w:div w:id="1496458345">
      <w:bodyDiv w:val="1"/>
      <w:marLeft w:val="0"/>
      <w:marRight w:val="0"/>
      <w:marTop w:val="0"/>
      <w:marBottom w:val="0"/>
      <w:divBdr>
        <w:top w:val="none" w:sz="0" w:space="0" w:color="auto"/>
        <w:left w:val="none" w:sz="0" w:space="0" w:color="auto"/>
        <w:bottom w:val="none" w:sz="0" w:space="0" w:color="auto"/>
        <w:right w:val="none" w:sz="0" w:space="0" w:color="auto"/>
      </w:divBdr>
    </w:div>
    <w:div w:id="1499534598">
      <w:bodyDiv w:val="1"/>
      <w:marLeft w:val="0"/>
      <w:marRight w:val="0"/>
      <w:marTop w:val="0"/>
      <w:marBottom w:val="0"/>
      <w:divBdr>
        <w:top w:val="none" w:sz="0" w:space="0" w:color="auto"/>
        <w:left w:val="none" w:sz="0" w:space="0" w:color="auto"/>
        <w:bottom w:val="none" w:sz="0" w:space="0" w:color="auto"/>
        <w:right w:val="none" w:sz="0" w:space="0" w:color="auto"/>
      </w:divBdr>
    </w:div>
    <w:div w:id="1602184987">
      <w:bodyDiv w:val="1"/>
      <w:marLeft w:val="0"/>
      <w:marRight w:val="0"/>
      <w:marTop w:val="0"/>
      <w:marBottom w:val="0"/>
      <w:divBdr>
        <w:top w:val="none" w:sz="0" w:space="0" w:color="auto"/>
        <w:left w:val="none" w:sz="0" w:space="0" w:color="auto"/>
        <w:bottom w:val="none" w:sz="0" w:space="0" w:color="auto"/>
        <w:right w:val="none" w:sz="0" w:space="0" w:color="auto"/>
      </w:divBdr>
    </w:div>
    <w:div w:id="1933854443">
      <w:bodyDiv w:val="1"/>
      <w:marLeft w:val="0"/>
      <w:marRight w:val="0"/>
      <w:marTop w:val="0"/>
      <w:marBottom w:val="0"/>
      <w:divBdr>
        <w:top w:val="none" w:sz="0" w:space="0" w:color="auto"/>
        <w:left w:val="none" w:sz="0" w:space="0" w:color="auto"/>
        <w:bottom w:val="none" w:sz="0" w:space="0" w:color="auto"/>
        <w:right w:val="none" w:sz="0" w:space="0" w:color="auto"/>
      </w:divBdr>
    </w:div>
    <w:div w:id="19381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doi.org/10.26869/TI.35.1"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hyperlink" Target="https://spaces.internet2.edu/display/TI/TI.3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2D61F570-EFD0-4D44-9AC8-7CD52047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Woodbeck</dc:creator>
  <cp:keywords/>
  <cp:lastModifiedBy>Dean Woodbeck</cp:lastModifiedBy>
  <cp:revision>4</cp:revision>
  <cp:lastPrinted>2018-01-09T01:57:00Z</cp:lastPrinted>
  <dcterms:created xsi:type="dcterms:W3CDTF">2018-02-08T02:10:00Z</dcterms:created>
  <dcterms:modified xsi:type="dcterms:W3CDTF">2018-02-14T18:28:00Z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